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AnsiTheme="minorEastAsia" w:eastAsiaTheme="minorEastAsia"/>
          <w:b/>
          <w:bCs/>
          <w:sz w:val="44"/>
          <w:szCs w:val="44"/>
        </w:rPr>
      </w:pPr>
    </w:p>
    <w:p>
      <w:pPr>
        <w:ind w:firstLine="0" w:firstLineChars="0"/>
        <w:jc w:val="center"/>
        <w:rPr>
          <w:rFonts w:hAnsiTheme="minorEastAsia" w:eastAsiaTheme="minorEastAsia"/>
          <w:b/>
          <w:bCs/>
          <w:sz w:val="44"/>
          <w:szCs w:val="44"/>
        </w:rPr>
      </w:pPr>
      <w:r>
        <w:rPr>
          <w:rFonts w:hint="eastAsia" w:hAnsiTheme="minorEastAsia" w:eastAsiaTheme="minorEastAsia"/>
          <w:b/>
          <w:bCs/>
          <w:sz w:val="44"/>
          <w:szCs w:val="44"/>
        </w:rPr>
        <w:t>重庆科达新能源材料</w:t>
      </w:r>
      <w:r>
        <w:rPr>
          <w:rFonts w:hAnsiTheme="minorEastAsia" w:eastAsiaTheme="minorEastAsia"/>
          <w:b/>
          <w:bCs/>
          <w:sz w:val="44"/>
          <w:szCs w:val="44"/>
        </w:rPr>
        <w:t>有限公司</w:t>
      </w:r>
    </w:p>
    <w:p>
      <w:pPr>
        <w:ind w:firstLine="0" w:firstLineChars="0"/>
        <w:jc w:val="center"/>
        <w:rPr>
          <w:rFonts w:hAnsiTheme="minorEastAsia" w:eastAsiaTheme="minorEastAsia"/>
          <w:b/>
          <w:bCs/>
          <w:sz w:val="44"/>
          <w:szCs w:val="44"/>
        </w:rPr>
      </w:pPr>
    </w:p>
    <w:p>
      <w:pPr>
        <w:ind w:firstLine="199" w:firstLineChars="45"/>
        <w:jc w:val="center"/>
        <w:rPr>
          <w:rFonts w:hAnsi="宋体"/>
          <w:b/>
          <w:kern w:val="0"/>
          <w:sz w:val="44"/>
          <w:szCs w:val="44"/>
          <w:lang w:val="zh-CN"/>
        </w:rPr>
      </w:pPr>
      <w:r>
        <w:rPr>
          <w:rFonts w:hint="eastAsia"/>
          <w:b/>
          <w:kern w:val="0"/>
          <w:sz w:val="44"/>
          <w:szCs w:val="44"/>
          <w:lang w:val="zh-CN"/>
        </w:rPr>
        <w:t>5</w:t>
      </w:r>
      <w:r>
        <w:rPr>
          <w:rFonts w:hAnsi="宋体"/>
          <w:b/>
          <w:kern w:val="0"/>
          <w:sz w:val="44"/>
          <w:szCs w:val="44"/>
          <w:lang w:val="zh-CN"/>
        </w:rPr>
        <w:t>万吨</w:t>
      </w:r>
      <w:r>
        <w:rPr>
          <w:b/>
          <w:kern w:val="0"/>
          <w:sz w:val="44"/>
          <w:szCs w:val="44"/>
          <w:lang w:val="zh-CN"/>
        </w:rPr>
        <w:t>/</w:t>
      </w:r>
      <w:r>
        <w:rPr>
          <w:rFonts w:hAnsi="宋体"/>
          <w:b/>
          <w:kern w:val="0"/>
          <w:sz w:val="44"/>
          <w:szCs w:val="44"/>
          <w:lang w:val="zh-CN"/>
        </w:rPr>
        <w:t>年负极材料</w:t>
      </w:r>
      <w:r>
        <w:rPr>
          <w:rFonts w:hint="eastAsia" w:hAnsi="宋体"/>
          <w:b/>
          <w:kern w:val="0"/>
          <w:sz w:val="44"/>
          <w:szCs w:val="44"/>
          <w:lang w:val="zh-CN"/>
        </w:rPr>
        <w:t>一体化</w:t>
      </w:r>
      <w:r>
        <w:rPr>
          <w:rFonts w:hAnsi="宋体"/>
          <w:b/>
          <w:kern w:val="0"/>
          <w:sz w:val="44"/>
          <w:szCs w:val="44"/>
          <w:lang w:val="zh-CN"/>
        </w:rPr>
        <w:t>产线项目</w:t>
      </w:r>
    </w:p>
    <w:p>
      <w:pPr>
        <w:ind w:firstLine="199" w:firstLineChars="45"/>
        <w:jc w:val="center"/>
        <w:rPr>
          <w:rFonts w:hAnsi="宋体"/>
          <w:b/>
          <w:kern w:val="0"/>
          <w:sz w:val="44"/>
          <w:szCs w:val="44"/>
          <w:lang w:val="zh-CN"/>
        </w:rPr>
      </w:pPr>
    </w:p>
    <w:p>
      <w:pPr>
        <w:ind w:firstLine="199" w:firstLineChars="45"/>
        <w:jc w:val="center"/>
        <w:rPr>
          <w:rFonts w:eastAsia="黑体"/>
          <w:b/>
          <w:sz w:val="44"/>
          <w:szCs w:val="44"/>
          <w:highlight w:val="yellow"/>
        </w:rPr>
      </w:pPr>
    </w:p>
    <w:p>
      <w:pPr>
        <w:ind w:firstLine="0" w:firstLineChars="0"/>
        <w:jc w:val="center"/>
        <w:rPr>
          <w:rFonts w:hint="eastAsia" w:eastAsia="黑体"/>
          <w:b/>
          <w:sz w:val="44"/>
          <w:szCs w:val="44"/>
          <w:lang w:val="en-US" w:eastAsia="zh-CN"/>
        </w:rPr>
      </w:pPr>
      <w:r>
        <w:rPr>
          <w:rFonts w:hint="eastAsia" w:eastAsia="黑体"/>
          <w:b/>
          <w:sz w:val="44"/>
          <w:szCs w:val="44"/>
          <w:lang w:val="en-US" w:eastAsia="zh-CN"/>
        </w:rPr>
        <w:t>高压柜</w:t>
      </w:r>
      <w:bookmarkStart w:id="36" w:name="_GoBack"/>
      <w:bookmarkEnd w:id="36"/>
    </w:p>
    <w:p>
      <w:pPr>
        <w:ind w:firstLine="0" w:firstLineChars="0"/>
        <w:jc w:val="center"/>
        <w:rPr>
          <w:rFonts w:hint="default" w:eastAsia="黑体"/>
          <w:b/>
          <w:sz w:val="44"/>
          <w:szCs w:val="44"/>
          <w:lang w:val="en-US" w:eastAsia="zh-CN"/>
        </w:rPr>
      </w:pPr>
    </w:p>
    <w:p>
      <w:pPr>
        <w:ind w:firstLine="0" w:firstLineChars="0"/>
        <w:jc w:val="center"/>
        <w:rPr>
          <w:rFonts w:eastAsiaTheme="minorEastAsia"/>
          <w:b/>
          <w:bCs/>
          <w:sz w:val="44"/>
          <w:szCs w:val="44"/>
        </w:rPr>
      </w:pPr>
      <w:r>
        <w:rPr>
          <w:rFonts w:hint="eastAsia" w:eastAsiaTheme="minorEastAsia"/>
          <w:b/>
          <w:bCs/>
          <w:sz w:val="44"/>
          <w:szCs w:val="44"/>
        </w:rPr>
        <w:t>招标文件</w:t>
      </w:r>
    </w:p>
    <w:p>
      <w:pPr>
        <w:ind w:firstLine="0" w:firstLineChars="0"/>
        <w:jc w:val="center"/>
        <w:rPr>
          <w:rFonts w:hAnsiTheme="minorEastAsia" w:eastAsiaTheme="minorEastAsia"/>
          <w:b/>
          <w:bCs/>
          <w:sz w:val="32"/>
          <w:szCs w:val="32"/>
        </w:rPr>
      </w:pPr>
      <w:r>
        <w:rPr>
          <w:rFonts w:hAnsiTheme="minorEastAsia" w:eastAsiaTheme="minorEastAsia"/>
          <w:b/>
          <w:bCs/>
          <w:sz w:val="32"/>
          <w:szCs w:val="32"/>
        </w:rPr>
        <w:t>（技术部分）</w:t>
      </w:r>
    </w:p>
    <w:p>
      <w:pPr>
        <w:ind w:firstLine="0" w:firstLineChars="0"/>
        <w:jc w:val="center"/>
        <w:rPr>
          <w:rFonts w:hAnsiTheme="minorEastAsia" w:eastAsiaTheme="minorEastAsia"/>
          <w:b/>
          <w:bCs/>
          <w:sz w:val="32"/>
          <w:szCs w:val="32"/>
        </w:rPr>
      </w:pPr>
    </w:p>
    <w:p>
      <w:pPr>
        <w:spacing w:line="240" w:lineRule="auto"/>
        <w:ind w:firstLine="0" w:firstLineChars="0"/>
        <w:jc w:val="center"/>
        <w:rPr>
          <w:color w:val="000000"/>
          <w:sz w:val="30"/>
          <w:szCs w:val="30"/>
        </w:rPr>
      </w:pPr>
      <w:r>
        <w:rPr>
          <w:color w:val="000000"/>
          <w:sz w:val="30"/>
          <w:szCs w:val="30"/>
        </w:rPr>
        <w:t>编制：_____________</w:t>
      </w:r>
    </w:p>
    <w:p>
      <w:pPr>
        <w:spacing w:line="240" w:lineRule="auto"/>
        <w:ind w:firstLine="0" w:firstLineChars="0"/>
        <w:jc w:val="center"/>
        <w:rPr>
          <w:color w:val="000000"/>
          <w:sz w:val="30"/>
          <w:szCs w:val="30"/>
        </w:rPr>
      </w:pPr>
      <w:r>
        <w:rPr>
          <w:color w:val="000000"/>
          <w:sz w:val="30"/>
          <w:szCs w:val="30"/>
        </w:rPr>
        <w:t>校核：_____________</w:t>
      </w:r>
    </w:p>
    <w:p>
      <w:pPr>
        <w:spacing w:line="240" w:lineRule="auto"/>
        <w:ind w:firstLine="0" w:firstLineChars="0"/>
        <w:jc w:val="center"/>
        <w:rPr>
          <w:color w:val="000000"/>
          <w:sz w:val="30"/>
          <w:szCs w:val="30"/>
        </w:rPr>
      </w:pPr>
      <w:r>
        <w:rPr>
          <w:color w:val="000000"/>
          <w:sz w:val="30"/>
          <w:szCs w:val="30"/>
        </w:rPr>
        <w:t>审核：_____________</w:t>
      </w:r>
    </w:p>
    <w:p>
      <w:pPr>
        <w:spacing w:line="240" w:lineRule="auto"/>
        <w:ind w:firstLine="0" w:firstLineChars="0"/>
        <w:jc w:val="center"/>
        <w:rPr>
          <w:color w:val="000000"/>
          <w:sz w:val="30"/>
          <w:szCs w:val="30"/>
        </w:rPr>
      </w:pPr>
      <w:r>
        <w:rPr>
          <w:rFonts w:hint="eastAsia"/>
          <w:color w:val="000000"/>
          <w:sz w:val="30"/>
          <w:szCs w:val="30"/>
        </w:rPr>
        <w:t>会签</w:t>
      </w:r>
      <w:r>
        <w:rPr>
          <w:color w:val="000000"/>
          <w:sz w:val="30"/>
          <w:szCs w:val="30"/>
        </w:rPr>
        <w:t>：_____________</w:t>
      </w:r>
    </w:p>
    <w:p>
      <w:pPr>
        <w:spacing w:line="240" w:lineRule="auto"/>
        <w:ind w:firstLine="0" w:firstLineChars="0"/>
        <w:jc w:val="center"/>
        <w:rPr>
          <w:color w:val="000000"/>
          <w:sz w:val="30"/>
          <w:szCs w:val="30"/>
        </w:rPr>
      </w:pPr>
      <w:r>
        <w:rPr>
          <w:rFonts w:hint="eastAsia"/>
          <w:color w:val="000000"/>
          <w:sz w:val="30"/>
          <w:szCs w:val="30"/>
        </w:rPr>
        <w:t>审定</w:t>
      </w:r>
      <w:r>
        <w:rPr>
          <w:color w:val="000000"/>
          <w:sz w:val="30"/>
          <w:szCs w:val="30"/>
        </w:rPr>
        <w:t>：_____________</w:t>
      </w:r>
    </w:p>
    <w:p>
      <w:pPr>
        <w:ind w:firstLine="0" w:firstLineChars="0"/>
        <w:jc w:val="center"/>
        <w:rPr>
          <w:color w:val="000000"/>
          <w:sz w:val="30"/>
          <w:szCs w:val="30"/>
        </w:rPr>
      </w:pPr>
    </w:p>
    <w:p>
      <w:pPr>
        <w:ind w:firstLine="0" w:firstLineChars="0"/>
        <w:jc w:val="center"/>
        <w:rPr>
          <w:color w:val="000000"/>
          <w:sz w:val="30"/>
          <w:szCs w:val="30"/>
        </w:rPr>
      </w:pPr>
    </w:p>
    <w:p>
      <w:pPr>
        <w:ind w:firstLine="0" w:firstLineChars="0"/>
        <w:jc w:val="center"/>
        <w:rPr>
          <w:color w:val="000000"/>
          <w:sz w:val="30"/>
          <w:szCs w:val="30"/>
        </w:rPr>
      </w:pPr>
    </w:p>
    <w:p>
      <w:pPr>
        <w:ind w:firstLine="1280" w:firstLineChars="400"/>
        <w:jc w:val="both"/>
      </w:pPr>
      <w:r>
        <w:rPr>
          <w:rFonts w:hAnsi="宋体"/>
          <w:sz w:val="32"/>
          <w:szCs w:val="32"/>
        </w:rPr>
        <w:t>招标</w:t>
      </w:r>
      <w:r>
        <w:rPr>
          <w:rFonts w:hint="eastAsia" w:hAnsi="宋体"/>
          <w:sz w:val="32"/>
          <w:szCs w:val="32"/>
        </w:rPr>
        <w:t>方</w:t>
      </w:r>
      <w:r>
        <w:rPr>
          <w:rFonts w:hAnsi="宋体"/>
          <w:sz w:val="32"/>
          <w:szCs w:val="32"/>
        </w:rPr>
        <w:t>：</w:t>
      </w:r>
      <w:r>
        <w:rPr>
          <w:rFonts w:hint="eastAsia"/>
          <w:sz w:val="32"/>
          <w:szCs w:val="32"/>
        </w:rPr>
        <w:t>重庆科达新能源材料有限公司</w:t>
      </w:r>
    </w:p>
    <w:p>
      <w:pPr>
        <w:ind w:firstLine="0" w:firstLineChars="0"/>
        <w:jc w:val="center"/>
      </w:pPr>
      <w:r>
        <w:rPr>
          <w:rFonts w:hint="eastAsia"/>
        </w:rPr>
        <w:t>2023年0</w:t>
      </w:r>
      <w:r>
        <w:rPr>
          <w:rFonts w:hint="eastAsia"/>
          <w:lang w:val="en-US" w:eastAsia="zh-CN"/>
        </w:rPr>
        <w:t>7</w:t>
      </w:r>
      <w:r>
        <w:rPr>
          <w:rFonts w:hint="eastAsia"/>
        </w:rPr>
        <w:t>月2</w:t>
      </w:r>
      <w:r>
        <w:rPr>
          <w:rFonts w:hint="eastAsia"/>
          <w:lang w:val="en-US" w:eastAsia="zh-CN"/>
        </w:rPr>
        <w:t>5</w:t>
      </w:r>
      <w:r>
        <w:rPr>
          <w:rFonts w:hint="eastAsia"/>
        </w:rPr>
        <w:t>日</w:t>
      </w:r>
    </w:p>
    <w:p>
      <w:pPr>
        <w:ind w:firstLine="880"/>
        <w:rPr>
          <w:rFonts w:eastAsia="黑体"/>
          <w:sz w:val="44"/>
          <w:szCs w:val="44"/>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sdt>
      <w:sdtPr>
        <w:rPr>
          <w:sz w:val="21"/>
        </w:rPr>
        <w:id w:val="147482531"/>
        <w:docPartObj>
          <w:docPartGallery w:val="Table of Contents"/>
          <w:docPartUnique/>
        </w:docPartObj>
      </w:sdtPr>
      <w:sdtEndPr>
        <w:rPr>
          <w:bCs/>
          <w:sz w:val="24"/>
          <w:szCs w:val="28"/>
          <w:lang w:val="zh-CN"/>
        </w:rPr>
      </w:sdtEndPr>
      <w:sdtContent>
        <w:p>
          <w:pPr>
            <w:spacing w:line="360" w:lineRule="auto"/>
            <w:jc w:val="center"/>
            <w:rPr>
              <w:rFonts w:ascii="Arial" w:hAnsi="Arial" w:cs="Arial"/>
              <w:sz w:val="24"/>
            </w:rPr>
          </w:pPr>
          <w:bookmarkStart w:id="0" w:name="_Toc429298027"/>
          <w:bookmarkStart w:id="1" w:name="_Toc372094318"/>
          <w:bookmarkStart w:id="2" w:name="_Toc431309798"/>
          <w:r>
            <w:rPr>
              <w:rFonts w:ascii="Arial" w:hAnsi="Arial" w:cs="Arial"/>
              <w:sz w:val="30"/>
            </w:rPr>
            <w:t>目录</w:t>
          </w:r>
        </w:p>
        <w:p>
          <w:pPr>
            <w:pStyle w:val="18"/>
            <w:tabs>
              <w:tab w:val="right" w:leader="dot" w:pos="8820"/>
              <w:tab w:val="clear" w:pos="9060"/>
            </w:tabs>
            <w:rPr>
              <w:sz w:val="28"/>
              <w:szCs w:val="36"/>
            </w:rPr>
          </w:pPr>
          <w:r>
            <w:rPr>
              <w:rFonts w:ascii="Arial" w:hAnsi="Arial" w:cs="Arial"/>
              <w:sz w:val="36"/>
              <w:szCs w:val="36"/>
            </w:rPr>
            <w:fldChar w:fldCharType="begin"/>
          </w:r>
          <w:r>
            <w:rPr>
              <w:rFonts w:ascii="Arial" w:hAnsi="Arial" w:cs="Arial"/>
              <w:sz w:val="36"/>
              <w:szCs w:val="36"/>
            </w:rPr>
            <w:instrText xml:space="preserve"> TOC \o "1-2" \h \z \u </w:instrText>
          </w:r>
          <w:r>
            <w:rPr>
              <w:rFonts w:ascii="Arial" w:hAnsi="Arial" w:cs="Arial"/>
              <w:sz w:val="36"/>
              <w:szCs w:val="36"/>
            </w:rPr>
            <w:fldChar w:fldCharType="separate"/>
          </w:r>
          <w:r>
            <w:rPr>
              <w:rFonts w:ascii="Arial" w:hAnsi="Arial" w:cs="Arial"/>
              <w:sz w:val="28"/>
              <w:szCs w:val="36"/>
            </w:rPr>
            <w:fldChar w:fldCharType="begin"/>
          </w:r>
          <w:r>
            <w:rPr>
              <w:rFonts w:ascii="Arial" w:hAnsi="Arial" w:cs="Arial"/>
              <w:sz w:val="28"/>
              <w:szCs w:val="36"/>
            </w:rPr>
            <w:instrText xml:space="preserve"> HYPERLINK \l _Toc26443 </w:instrText>
          </w:r>
          <w:r>
            <w:rPr>
              <w:rFonts w:ascii="Arial" w:hAnsi="Arial" w:cs="Arial"/>
              <w:sz w:val="28"/>
              <w:szCs w:val="36"/>
            </w:rPr>
            <w:fldChar w:fldCharType="separate"/>
          </w:r>
          <w:r>
            <w:rPr>
              <w:rFonts w:hint="eastAsia" w:ascii="宋体" w:hAnsi="宋体" w:cs="宋体"/>
              <w:kern w:val="44"/>
              <w:sz w:val="28"/>
              <w:szCs w:val="36"/>
            </w:rPr>
            <w:t>1. 总体说明</w:t>
          </w:r>
          <w:r>
            <w:rPr>
              <w:sz w:val="28"/>
              <w:szCs w:val="36"/>
            </w:rPr>
            <w:tab/>
          </w:r>
          <w:r>
            <w:rPr>
              <w:sz w:val="28"/>
              <w:szCs w:val="36"/>
            </w:rPr>
            <w:fldChar w:fldCharType="begin"/>
          </w:r>
          <w:r>
            <w:rPr>
              <w:sz w:val="28"/>
              <w:szCs w:val="36"/>
            </w:rPr>
            <w:instrText xml:space="preserve"> PAGEREF _Toc26443 </w:instrText>
          </w:r>
          <w:r>
            <w:rPr>
              <w:sz w:val="28"/>
              <w:szCs w:val="36"/>
            </w:rPr>
            <w:fldChar w:fldCharType="separate"/>
          </w:r>
          <w:r>
            <w:rPr>
              <w:sz w:val="28"/>
              <w:szCs w:val="36"/>
            </w:rPr>
            <w:t>1</w:t>
          </w:r>
          <w:r>
            <w:rPr>
              <w:sz w:val="28"/>
              <w:szCs w:val="36"/>
            </w:rPr>
            <w:fldChar w:fldCharType="end"/>
          </w:r>
          <w:r>
            <w:rPr>
              <w:rFonts w:ascii="Arial" w:hAnsi="Arial" w:cs="Arial"/>
              <w:sz w:val="28"/>
              <w:szCs w:val="36"/>
            </w:rPr>
            <w:fldChar w:fldCharType="end"/>
          </w:r>
        </w:p>
        <w:p>
          <w:pPr>
            <w:pStyle w:val="18"/>
            <w:tabs>
              <w:tab w:val="right" w:leader="dot" w:pos="8820"/>
              <w:tab w:val="clear" w:pos="9060"/>
            </w:tabs>
            <w:jc w:val="left"/>
            <w:rPr>
              <w:sz w:val="28"/>
              <w:szCs w:val="36"/>
            </w:rPr>
          </w:pPr>
          <w:r>
            <w:rPr>
              <w:rFonts w:ascii="Arial" w:hAnsi="Arial" w:cs="Arial"/>
              <w:sz w:val="28"/>
              <w:szCs w:val="36"/>
            </w:rPr>
            <w:fldChar w:fldCharType="begin"/>
          </w:r>
          <w:r>
            <w:rPr>
              <w:rFonts w:ascii="Arial" w:hAnsi="Arial" w:cs="Arial"/>
              <w:sz w:val="28"/>
              <w:szCs w:val="36"/>
            </w:rPr>
            <w:instrText xml:space="preserve"> HYPERLINK \l _Toc27761 </w:instrText>
          </w:r>
          <w:r>
            <w:rPr>
              <w:rFonts w:ascii="Arial" w:hAnsi="Arial" w:cs="Arial"/>
              <w:sz w:val="28"/>
              <w:szCs w:val="36"/>
            </w:rPr>
            <w:fldChar w:fldCharType="separate"/>
          </w:r>
          <w:r>
            <w:rPr>
              <w:rFonts w:hint="eastAsia" w:ascii="宋体" w:hAnsi="宋体" w:cs="宋体"/>
              <w:kern w:val="44"/>
              <w:sz w:val="28"/>
              <w:szCs w:val="36"/>
            </w:rPr>
            <w:t>2. 建设条件</w:t>
          </w:r>
          <w:r>
            <w:rPr>
              <w:sz w:val="28"/>
              <w:szCs w:val="36"/>
            </w:rPr>
            <w:tab/>
          </w:r>
          <w:r>
            <w:rPr>
              <w:sz w:val="28"/>
              <w:szCs w:val="36"/>
            </w:rPr>
            <w:fldChar w:fldCharType="begin"/>
          </w:r>
          <w:r>
            <w:rPr>
              <w:sz w:val="28"/>
              <w:szCs w:val="36"/>
            </w:rPr>
            <w:instrText xml:space="preserve"> PAGEREF _Toc27761 </w:instrText>
          </w:r>
          <w:r>
            <w:rPr>
              <w:sz w:val="28"/>
              <w:szCs w:val="36"/>
            </w:rPr>
            <w:fldChar w:fldCharType="separate"/>
          </w:r>
          <w:r>
            <w:rPr>
              <w:sz w:val="28"/>
              <w:szCs w:val="36"/>
            </w:rPr>
            <w:t>1</w:t>
          </w:r>
          <w:r>
            <w:rPr>
              <w:sz w:val="28"/>
              <w:szCs w:val="36"/>
            </w:rPr>
            <w:fldChar w:fldCharType="end"/>
          </w:r>
          <w:r>
            <w:rPr>
              <w:rFonts w:ascii="Arial" w:hAnsi="Arial" w:cs="Arial"/>
              <w:sz w:val="28"/>
              <w:szCs w:val="36"/>
            </w:rPr>
            <w:fldChar w:fldCharType="end"/>
          </w:r>
        </w:p>
        <w:p>
          <w:pPr>
            <w:pStyle w:val="18"/>
            <w:tabs>
              <w:tab w:val="right" w:leader="dot" w:pos="8820"/>
              <w:tab w:val="clear" w:pos="9060"/>
            </w:tabs>
            <w:rPr>
              <w:sz w:val="28"/>
              <w:szCs w:val="36"/>
            </w:rPr>
          </w:pPr>
          <w:r>
            <w:rPr>
              <w:rFonts w:ascii="Arial" w:hAnsi="Arial" w:cs="Arial"/>
              <w:sz w:val="28"/>
              <w:szCs w:val="36"/>
            </w:rPr>
            <w:fldChar w:fldCharType="begin"/>
          </w:r>
          <w:r>
            <w:rPr>
              <w:rFonts w:ascii="Arial" w:hAnsi="Arial" w:cs="Arial"/>
              <w:sz w:val="28"/>
              <w:szCs w:val="36"/>
            </w:rPr>
            <w:instrText xml:space="preserve"> HYPERLINK \l _Toc26962 </w:instrText>
          </w:r>
          <w:r>
            <w:rPr>
              <w:rFonts w:ascii="Arial" w:hAnsi="Arial" w:cs="Arial"/>
              <w:sz w:val="28"/>
              <w:szCs w:val="36"/>
            </w:rPr>
            <w:fldChar w:fldCharType="separate"/>
          </w:r>
          <w:r>
            <w:rPr>
              <w:rFonts w:hint="eastAsia" w:ascii="宋体" w:hAnsi="宋体" w:cs="宋体"/>
              <w:kern w:val="44"/>
              <w:sz w:val="28"/>
              <w:szCs w:val="36"/>
            </w:rPr>
            <w:t>3. 执行标准</w:t>
          </w:r>
          <w:r>
            <w:rPr>
              <w:sz w:val="28"/>
              <w:szCs w:val="36"/>
            </w:rPr>
            <w:tab/>
          </w:r>
          <w:r>
            <w:rPr>
              <w:sz w:val="28"/>
              <w:szCs w:val="36"/>
            </w:rPr>
            <w:fldChar w:fldCharType="begin"/>
          </w:r>
          <w:r>
            <w:rPr>
              <w:sz w:val="28"/>
              <w:szCs w:val="36"/>
            </w:rPr>
            <w:instrText xml:space="preserve"> PAGEREF _Toc26962 </w:instrText>
          </w:r>
          <w:r>
            <w:rPr>
              <w:sz w:val="28"/>
              <w:szCs w:val="36"/>
            </w:rPr>
            <w:fldChar w:fldCharType="separate"/>
          </w:r>
          <w:r>
            <w:rPr>
              <w:sz w:val="28"/>
              <w:szCs w:val="36"/>
            </w:rPr>
            <w:t>2</w:t>
          </w:r>
          <w:r>
            <w:rPr>
              <w:sz w:val="28"/>
              <w:szCs w:val="36"/>
            </w:rPr>
            <w:fldChar w:fldCharType="end"/>
          </w:r>
          <w:r>
            <w:rPr>
              <w:rFonts w:ascii="Arial" w:hAnsi="Arial" w:cs="Arial"/>
              <w:sz w:val="28"/>
              <w:szCs w:val="36"/>
            </w:rPr>
            <w:fldChar w:fldCharType="end"/>
          </w:r>
        </w:p>
        <w:p>
          <w:pPr>
            <w:pStyle w:val="18"/>
            <w:tabs>
              <w:tab w:val="right" w:leader="dot" w:pos="8820"/>
              <w:tab w:val="clear" w:pos="9060"/>
            </w:tabs>
            <w:rPr>
              <w:sz w:val="28"/>
              <w:szCs w:val="36"/>
            </w:rPr>
          </w:pPr>
          <w:r>
            <w:rPr>
              <w:rFonts w:ascii="Arial" w:hAnsi="Arial" w:cs="Arial"/>
              <w:sz w:val="28"/>
              <w:szCs w:val="36"/>
            </w:rPr>
            <w:fldChar w:fldCharType="begin"/>
          </w:r>
          <w:r>
            <w:rPr>
              <w:rFonts w:ascii="Arial" w:hAnsi="Arial" w:cs="Arial"/>
              <w:sz w:val="28"/>
              <w:szCs w:val="36"/>
            </w:rPr>
            <w:instrText xml:space="preserve"> HYPERLINK \l _Toc7590 </w:instrText>
          </w:r>
          <w:r>
            <w:rPr>
              <w:rFonts w:ascii="Arial" w:hAnsi="Arial" w:cs="Arial"/>
              <w:sz w:val="28"/>
              <w:szCs w:val="36"/>
            </w:rPr>
            <w:fldChar w:fldCharType="separate"/>
          </w:r>
          <w:r>
            <w:rPr>
              <w:rFonts w:hint="eastAsia" w:ascii="宋体" w:hAnsi="宋体" w:cs="宋体"/>
              <w:kern w:val="44"/>
              <w:sz w:val="28"/>
              <w:szCs w:val="36"/>
            </w:rPr>
            <w:t>4. 技术参数</w:t>
          </w:r>
          <w:r>
            <w:rPr>
              <w:sz w:val="28"/>
              <w:szCs w:val="36"/>
            </w:rPr>
            <w:tab/>
          </w:r>
          <w:r>
            <w:rPr>
              <w:sz w:val="28"/>
              <w:szCs w:val="36"/>
            </w:rPr>
            <w:fldChar w:fldCharType="begin"/>
          </w:r>
          <w:r>
            <w:rPr>
              <w:sz w:val="28"/>
              <w:szCs w:val="36"/>
            </w:rPr>
            <w:instrText xml:space="preserve"> PAGEREF _Toc7590 </w:instrText>
          </w:r>
          <w:r>
            <w:rPr>
              <w:sz w:val="28"/>
              <w:szCs w:val="36"/>
            </w:rPr>
            <w:fldChar w:fldCharType="separate"/>
          </w:r>
          <w:r>
            <w:rPr>
              <w:sz w:val="28"/>
              <w:szCs w:val="36"/>
            </w:rPr>
            <w:t>3</w:t>
          </w:r>
          <w:r>
            <w:rPr>
              <w:sz w:val="28"/>
              <w:szCs w:val="36"/>
            </w:rPr>
            <w:fldChar w:fldCharType="end"/>
          </w:r>
          <w:r>
            <w:rPr>
              <w:rFonts w:ascii="Arial" w:hAnsi="Arial" w:cs="Arial"/>
              <w:sz w:val="28"/>
              <w:szCs w:val="36"/>
            </w:rPr>
            <w:fldChar w:fldCharType="end"/>
          </w:r>
        </w:p>
        <w:p>
          <w:pPr>
            <w:pStyle w:val="18"/>
            <w:tabs>
              <w:tab w:val="right" w:leader="dot" w:pos="8820"/>
              <w:tab w:val="clear" w:pos="9060"/>
            </w:tabs>
            <w:rPr>
              <w:sz w:val="28"/>
              <w:szCs w:val="36"/>
            </w:rPr>
          </w:pPr>
          <w:r>
            <w:rPr>
              <w:rFonts w:ascii="Arial" w:hAnsi="Arial" w:cs="Arial"/>
              <w:sz w:val="28"/>
              <w:szCs w:val="36"/>
            </w:rPr>
            <w:fldChar w:fldCharType="begin"/>
          </w:r>
          <w:r>
            <w:rPr>
              <w:rFonts w:ascii="Arial" w:hAnsi="Arial" w:cs="Arial"/>
              <w:sz w:val="28"/>
              <w:szCs w:val="36"/>
            </w:rPr>
            <w:instrText xml:space="preserve"> HYPERLINK \l _Toc20471 </w:instrText>
          </w:r>
          <w:r>
            <w:rPr>
              <w:rFonts w:ascii="Arial" w:hAnsi="Arial" w:cs="Arial"/>
              <w:sz w:val="28"/>
              <w:szCs w:val="36"/>
            </w:rPr>
            <w:fldChar w:fldCharType="separate"/>
          </w:r>
          <w:r>
            <w:rPr>
              <w:rFonts w:hint="eastAsia" w:ascii="宋体" w:hAnsi="宋体" w:cs="宋体"/>
              <w:kern w:val="44"/>
              <w:sz w:val="28"/>
              <w:szCs w:val="36"/>
            </w:rPr>
            <w:t>5. 技术规范及要求</w:t>
          </w:r>
          <w:r>
            <w:rPr>
              <w:sz w:val="28"/>
              <w:szCs w:val="36"/>
            </w:rPr>
            <w:tab/>
          </w:r>
          <w:r>
            <w:rPr>
              <w:sz w:val="28"/>
              <w:szCs w:val="36"/>
            </w:rPr>
            <w:fldChar w:fldCharType="begin"/>
          </w:r>
          <w:r>
            <w:rPr>
              <w:sz w:val="28"/>
              <w:szCs w:val="36"/>
            </w:rPr>
            <w:instrText xml:space="preserve"> PAGEREF _Toc20471 </w:instrText>
          </w:r>
          <w:r>
            <w:rPr>
              <w:sz w:val="28"/>
              <w:szCs w:val="36"/>
            </w:rPr>
            <w:fldChar w:fldCharType="separate"/>
          </w:r>
          <w:r>
            <w:rPr>
              <w:sz w:val="28"/>
              <w:szCs w:val="36"/>
            </w:rPr>
            <w:t>4</w:t>
          </w:r>
          <w:r>
            <w:rPr>
              <w:sz w:val="28"/>
              <w:szCs w:val="36"/>
            </w:rPr>
            <w:fldChar w:fldCharType="end"/>
          </w:r>
          <w:r>
            <w:rPr>
              <w:rFonts w:ascii="Arial" w:hAnsi="Arial" w:cs="Arial"/>
              <w:sz w:val="28"/>
              <w:szCs w:val="36"/>
            </w:rPr>
            <w:fldChar w:fldCharType="end"/>
          </w:r>
        </w:p>
        <w:p>
          <w:pPr>
            <w:pStyle w:val="18"/>
            <w:tabs>
              <w:tab w:val="right" w:leader="dot" w:pos="8820"/>
              <w:tab w:val="clear" w:pos="9060"/>
            </w:tabs>
            <w:rPr>
              <w:sz w:val="28"/>
              <w:szCs w:val="36"/>
            </w:rPr>
          </w:pPr>
          <w:r>
            <w:rPr>
              <w:rFonts w:ascii="Arial" w:hAnsi="Arial" w:cs="Arial"/>
              <w:sz w:val="28"/>
              <w:szCs w:val="36"/>
            </w:rPr>
            <w:fldChar w:fldCharType="begin"/>
          </w:r>
          <w:r>
            <w:rPr>
              <w:rFonts w:ascii="Arial" w:hAnsi="Arial" w:cs="Arial"/>
              <w:sz w:val="28"/>
              <w:szCs w:val="36"/>
            </w:rPr>
            <w:instrText xml:space="preserve"> HYPERLINK \l _Toc6795 </w:instrText>
          </w:r>
          <w:r>
            <w:rPr>
              <w:rFonts w:ascii="Arial" w:hAnsi="Arial" w:cs="Arial"/>
              <w:sz w:val="28"/>
              <w:szCs w:val="36"/>
            </w:rPr>
            <w:fldChar w:fldCharType="separate"/>
          </w:r>
          <w:r>
            <w:rPr>
              <w:rFonts w:hint="eastAsia" w:ascii="宋体" w:hAnsi="宋体" w:cs="宋体"/>
              <w:kern w:val="44"/>
              <w:sz w:val="28"/>
              <w:szCs w:val="36"/>
            </w:rPr>
            <w:t>6. 试验</w:t>
          </w:r>
          <w:r>
            <w:rPr>
              <w:sz w:val="28"/>
              <w:szCs w:val="36"/>
            </w:rPr>
            <w:tab/>
          </w:r>
          <w:r>
            <w:rPr>
              <w:sz w:val="28"/>
              <w:szCs w:val="36"/>
            </w:rPr>
            <w:fldChar w:fldCharType="begin"/>
          </w:r>
          <w:r>
            <w:rPr>
              <w:sz w:val="28"/>
              <w:szCs w:val="36"/>
            </w:rPr>
            <w:instrText xml:space="preserve"> PAGEREF _Toc6795 </w:instrText>
          </w:r>
          <w:r>
            <w:rPr>
              <w:sz w:val="28"/>
              <w:szCs w:val="36"/>
            </w:rPr>
            <w:fldChar w:fldCharType="separate"/>
          </w:r>
          <w:r>
            <w:rPr>
              <w:sz w:val="28"/>
              <w:szCs w:val="36"/>
            </w:rPr>
            <w:t>15</w:t>
          </w:r>
          <w:r>
            <w:rPr>
              <w:sz w:val="28"/>
              <w:szCs w:val="36"/>
            </w:rPr>
            <w:fldChar w:fldCharType="end"/>
          </w:r>
          <w:r>
            <w:rPr>
              <w:rFonts w:ascii="Arial" w:hAnsi="Arial" w:cs="Arial"/>
              <w:sz w:val="28"/>
              <w:szCs w:val="36"/>
            </w:rPr>
            <w:fldChar w:fldCharType="end"/>
          </w:r>
        </w:p>
        <w:p>
          <w:pPr>
            <w:pStyle w:val="18"/>
            <w:tabs>
              <w:tab w:val="right" w:leader="dot" w:pos="8820"/>
              <w:tab w:val="clear" w:pos="9060"/>
            </w:tabs>
            <w:rPr>
              <w:sz w:val="28"/>
              <w:szCs w:val="36"/>
            </w:rPr>
          </w:pPr>
          <w:r>
            <w:rPr>
              <w:rFonts w:ascii="Arial" w:hAnsi="Arial" w:cs="Arial"/>
              <w:sz w:val="28"/>
              <w:szCs w:val="36"/>
            </w:rPr>
            <w:fldChar w:fldCharType="begin"/>
          </w:r>
          <w:r>
            <w:rPr>
              <w:rFonts w:ascii="Arial" w:hAnsi="Arial" w:cs="Arial"/>
              <w:sz w:val="28"/>
              <w:szCs w:val="36"/>
            </w:rPr>
            <w:instrText xml:space="preserve"> HYPERLINK \l _Toc26597 </w:instrText>
          </w:r>
          <w:r>
            <w:rPr>
              <w:rFonts w:ascii="Arial" w:hAnsi="Arial" w:cs="Arial"/>
              <w:sz w:val="28"/>
              <w:szCs w:val="36"/>
            </w:rPr>
            <w:fldChar w:fldCharType="separate"/>
          </w:r>
          <w:r>
            <w:rPr>
              <w:rFonts w:hint="eastAsia" w:ascii="宋体" w:hAnsi="宋体" w:cs="宋体"/>
              <w:kern w:val="44"/>
              <w:sz w:val="28"/>
              <w:szCs w:val="36"/>
            </w:rPr>
            <w:t>7. 供货时间</w:t>
          </w:r>
          <w:r>
            <w:rPr>
              <w:sz w:val="28"/>
              <w:szCs w:val="36"/>
            </w:rPr>
            <w:tab/>
          </w:r>
          <w:r>
            <w:rPr>
              <w:sz w:val="28"/>
              <w:szCs w:val="36"/>
            </w:rPr>
            <w:fldChar w:fldCharType="begin"/>
          </w:r>
          <w:r>
            <w:rPr>
              <w:sz w:val="28"/>
              <w:szCs w:val="36"/>
            </w:rPr>
            <w:instrText xml:space="preserve"> PAGEREF _Toc26597 </w:instrText>
          </w:r>
          <w:r>
            <w:rPr>
              <w:sz w:val="28"/>
              <w:szCs w:val="36"/>
            </w:rPr>
            <w:fldChar w:fldCharType="separate"/>
          </w:r>
          <w:r>
            <w:rPr>
              <w:sz w:val="28"/>
              <w:szCs w:val="36"/>
            </w:rPr>
            <w:t>16</w:t>
          </w:r>
          <w:r>
            <w:rPr>
              <w:sz w:val="28"/>
              <w:szCs w:val="36"/>
            </w:rPr>
            <w:fldChar w:fldCharType="end"/>
          </w:r>
          <w:r>
            <w:rPr>
              <w:rFonts w:ascii="Arial" w:hAnsi="Arial" w:cs="Arial"/>
              <w:sz w:val="28"/>
              <w:szCs w:val="36"/>
            </w:rPr>
            <w:fldChar w:fldCharType="end"/>
          </w:r>
        </w:p>
        <w:p>
          <w:pPr>
            <w:pStyle w:val="18"/>
            <w:tabs>
              <w:tab w:val="right" w:leader="dot" w:pos="8820"/>
              <w:tab w:val="clear" w:pos="9060"/>
            </w:tabs>
            <w:rPr>
              <w:sz w:val="28"/>
              <w:szCs w:val="36"/>
            </w:rPr>
          </w:pPr>
          <w:r>
            <w:rPr>
              <w:rFonts w:ascii="Arial" w:hAnsi="Arial" w:cs="Arial"/>
              <w:sz w:val="28"/>
              <w:szCs w:val="36"/>
            </w:rPr>
            <w:fldChar w:fldCharType="begin"/>
          </w:r>
          <w:r>
            <w:rPr>
              <w:rFonts w:ascii="Arial" w:hAnsi="Arial" w:cs="Arial"/>
              <w:sz w:val="28"/>
              <w:szCs w:val="36"/>
            </w:rPr>
            <w:instrText xml:space="preserve"> HYPERLINK \l _Toc17285 </w:instrText>
          </w:r>
          <w:r>
            <w:rPr>
              <w:rFonts w:ascii="Arial" w:hAnsi="Arial" w:cs="Arial"/>
              <w:sz w:val="28"/>
              <w:szCs w:val="36"/>
            </w:rPr>
            <w:fldChar w:fldCharType="separate"/>
          </w:r>
          <w:r>
            <w:rPr>
              <w:rFonts w:hint="eastAsia" w:ascii="宋体" w:hAnsi="宋体" w:cs="宋体"/>
              <w:kern w:val="44"/>
              <w:sz w:val="28"/>
              <w:szCs w:val="36"/>
            </w:rPr>
            <w:t>8. 质量保证及其它</w:t>
          </w:r>
          <w:r>
            <w:rPr>
              <w:sz w:val="28"/>
              <w:szCs w:val="36"/>
            </w:rPr>
            <w:tab/>
          </w:r>
          <w:r>
            <w:rPr>
              <w:sz w:val="28"/>
              <w:szCs w:val="36"/>
            </w:rPr>
            <w:fldChar w:fldCharType="begin"/>
          </w:r>
          <w:r>
            <w:rPr>
              <w:sz w:val="28"/>
              <w:szCs w:val="36"/>
            </w:rPr>
            <w:instrText xml:space="preserve"> PAGEREF _Toc17285 </w:instrText>
          </w:r>
          <w:r>
            <w:rPr>
              <w:sz w:val="28"/>
              <w:szCs w:val="36"/>
            </w:rPr>
            <w:fldChar w:fldCharType="separate"/>
          </w:r>
          <w:r>
            <w:rPr>
              <w:sz w:val="28"/>
              <w:szCs w:val="36"/>
            </w:rPr>
            <w:t>16</w:t>
          </w:r>
          <w:r>
            <w:rPr>
              <w:sz w:val="28"/>
              <w:szCs w:val="36"/>
            </w:rPr>
            <w:fldChar w:fldCharType="end"/>
          </w:r>
          <w:r>
            <w:rPr>
              <w:rFonts w:ascii="Arial" w:hAnsi="Arial" w:cs="Arial"/>
              <w:sz w:val="28"/>
              <w:szCs w:val="36"/>
            </w:rPr>
            <w:fldChar w:fldCharType="end"/>
          </w:r>
        </w:p>
        <w:p>
          <w:pPr>
            <w:pStyle w:val="18"/>
            <w:tabs>
              <w:tab w:val="right" w:leader="dot" w:pos="8820"/>
              <w:tab w:val="clear" w:pos="9060"/>
            </w:tabs>
            <w:rPr>
              <w:rFonts w:ascii="Arial" w:hAnsi="Arial" w:cs="Arial"/>
              <w:sz w:val="28"/>
              <w:szCs w:val="36"/>
            </w:rPr>
          </w:pPr>
          <w:r>
            <w:rPr>
              <w:rFonts w:ascii="Arial" w:hAnsi="Arial" w:cs="Arial"/>
              <w:sz w:val="28"/>
              <w:szCs w:val="36"/>
            </w:rPr>
            <w:fldChar w:fldCharType="begin"/>
          </w:r>
          <w:r>
            <w:rPr>
              <w:rFonts w:ascii="Arial" w:hAnsi="Arial" w:cs="Arial"/>
              <w:sz w:val="28"/>
              <w:szCs w:val="36"/>
            </w:rPr>
            <w:instrText xml:space="preserve"> HYPERLINK \l _Toc17612 </w:instrText>
          </w:r>
          <w:r>
            <w:rPr>
              <w:rFonts w:ascii="Arial" w:hAnsi="Arial" w:cs="Arial"/>
              <w:sz w:val="28"/>
              <w:szCs w:val="36"/>
            </w:rPr>
            <w:fldChar w:fldCharType="separate"/>
          </w:r>
          <w:r>
            <w:rPr>
              <w:rFonts w:hint="eastAsia" w:ascii="宋体" w:hAnsi="宋体" w:cs="宋体"/>
              <w:kern w:val="44"/>
              <w:sz w:val="28"/>
              <w:szCs w:val="36"/>
            </w:rPr>
            <w:t>9. 技术文件</w:t>
          </w:r>
          <w:r>
            <w:rPr>
              <w:sz w:val="28"/>
              <w:szCs w:val="36"/>
            </w:rPr>
            <w:tab/>
          </w:r>
          <w:r>
            <w:rPr>
              <w:sz w:val="28"/>
              <w:szCs w:val="36"/>
            </w:rPr>
            <w:fldChar w:fldCharType="begin"/>
          </w:r>
          <w:r>
            <w:rPr>
              <w:sz w:val="28"/>
              <w:szCs w:val="36"/>
            </w:rPr>
            <w:instrText xml:space="preserve"> PAGEREF _Toc17612 </w:instrText>
          </w:r>
          <w:r>
            <w:rPr>
              <w:sz w:val="28"/>
              <w:szCs w:val="36"/>
            </w:rPr>
            <w:fldChar w:fldCharType="separate"/>
          </w:r>
          <w:r>
            <w:rPr>
              <w:sz w:val="28"/>
              <w:szCs w:val="36"/>
            </w:rPr>
            <w:t>17</w:t>
          </w:r>
          <w:r>
            <w:rPr>
              <w:sz w:val="28"/>
              <w:szCs w:val="36"/>
            </w:rPr>
            <w:fldChar w:fldCharType="end"/>
          </w:r>
          <w:r>
            <w:rPr>
              <w:rFonts w:ascii="Arial" w:hAnsi="Arial" w:cs="Arial"/>
              <w:sz w:val="28"/>
              <w:szCs w:val="36"/>
            </w:rPr>
            <w:fldChar w:fldCharType="end"/>
          </w:r>
        </w:p>
        <w:p>
          <w:pPr>
            <w:pStyle w:val="18"/>
            <w:tabs>
              <w:tab w:val="right" w:leader="dot" w:pos="8820"/>
              <w:tab w:val="clear" w:pos="9060"/>
            </w:tabs>
            <w:rPr>
              <w:rFonts w:hint="eastAsia" w:ascii="宋体" w:hAnsi="宋体" w:eastAsia="宋体" w:cs="宋体"/>
              <w:kern w:val="44"/>
              <w:sz w:val="28"/>
              <w:szCs w:val="36"/>
              <w:lang w:val="en-US" w:eastAsia="zh-CN"/>
            </w:rPr>
          </w:pPr>
          <w:r>
            <w:rPr>
              <w:rFonts w:hint="eastAsia" w:ascii="宋体" w:hAnsi="宋体" w:cs="宋体"/>
              <w:kern w:val="44"/>
              <w:sz w:val="28"/>
              <w:szCs w:val="36"/>
            </w:rPr>
            <w:fldChar w:fldCharType="begin"/>
          </w:r>
          <w:r>
            <w:rPr>
              <w:rFonts w:hint="eastAsia" w:ascii="宋体" w:hAnsi="宋体" w:cs="宋体"/>
              <w:kern w:val="44"/>
              <w:sz w:val="28"/>
              <w:szCs w:val="36"/>
            </w:rPr>
            <w:instrText xml:space="preserve"> HYPERLINK \l "_Toc22625" </w:instrText>
          </w:r>
          <w:r>
            <w:rPr>
              <w:rFonts w:hint="eastAsia" w:ascii="宋体" w:hAnsi="宋体" w:cs="宋体"/>
              <w:kern w:val="44"/>
              <w:sz w:val="28"/>
              <w:szCs w:val="36"/>
            </w:rPr>
            <w:fldChar w:fldCharType="separate"/>
          </w:r>
          <w:r>
            <w:rPr>
              <w:rFonts w:hint="eastAsia" w:ascii="宋体" w:hAnsi="宋体" w:cs="宋体"/>
              <w:kern w:val="44"/>
              <w:sz w:val="28"/>
              <w:szCs w:val="36"/>
            </w:rPr>
            <w:t>8. 检验和监造</w:t>
          </w:r>
          <w:r>
            <w:rPr>
              <w:rFonts w:hint="eastAsia" w:ascii="宋体" w:hAnsi="宋体" w:cs="宋体"/>
              <w:kern w:val="44"/>
              <w:sz w:val="28"/>
              <w:szCs w:val="36"/>
            </w:rPr>
            <w:tab/>
          </w:r>
          <w:r>
            <w:rPr>
              <w:rFonts w:hint="eastAsia" w:cs="宋体"/>
              <w:kern w:val="44"/>
              <w:sz w:val="28"/>
              <w:szCs w:val="36"/>
              <w:lang w:val="en-US" w:eastAsia="zh-CN"/>
            </w:rPr>
            <w:t>1</w:t>
          </w:r>
          <w:r>
            <w:rPr>
              <w:rFonts w:hint="eastAsia" w:ascii="宋体" w:hAnsi="宋体" w:cs="宋体"/>
              <w:kern w:val="44"/>
              <w:sz w:val="28"/>
              <w:szCs w:val="36"/>
            </w:rPr>
            <w:fldChar w:fldCharType="end"/>
          </w:r>
          <w:r>
            <w:rPr>
              <w:rFonts w:hint="eastAsia" w:cs="宋体"/>
              <w:kern w:val="44"/>
              <w:sz w:val="28"/>
              <w:szCs w:val="36"/>
              <w:lang w:val="en-US" w:eastAsia="zh-CN"/>
            </w:rPr>
            <w:t>8</w:t>
          </w:r>
        </w:p>
        <w:p>
          <w:pPr>
            <w:pStyle w:val="18"/>
            <w:tabs>
              <w:tab w:val="right" w:leader="dot" w:pos="8820"/>
              <w:tab w:val="clear" w:pos="9060"/>
            </w:tabs>
            <w:rPr>
              <w:rFonts w:hint="eastAsia" w:ascii="宋体" w:hAnsi="宋体" w:eastAsia="宋体" w:cs="宋体"/>
              <w:kern w:val="44"/>
              <w:sz w:val="28"/>
              <w:szCs w:val="36"/>
              <w:lang w:val="en-US" w:eastAsia="zh-CN"/>
            </w:rPr>
          </w:pPr>
          <w:r>
            <w:rPr>
              <w:rFonts w:hint="eastAsia" w:ascii="宋体" w:hAnsi="宋体" w:cs="宋体"/>
              <w:kern w:val="44"/>
              <w:sz w:val="28"/>
              <w:szCs w:val="36"/>
            </w:rPr>
            <w:fldChar w:fldCharType="begin"/>
          </w:r>
          <w:r>
            <w:rPr>
              <w:rFonts w:hint="eastAsia" w:ascii="宋体" w:hAnsi="宋体" w:cs="宋体"/>
              <w:kern w:val="44"/>
              <w:sz w:val="28"/>
              <w:szCs w:val="36"/>
            </w:rPr>
            <w:instrText xml:space="preserve"> HYPERLINK \l "_Toc12501" </w:instrText>
          </w:r>
          <w:r>
            <w:rPr>
              <w:rFonts w:hint="eastAsia" w:ascii="宋体" w:hAnsi="宋体" w:cs="宋体"/>
              <w:kern w:val="44"/>
              <w:sz w:val="28"/>
              <w:szCs w:val="36"/>
            </w:rPr>
            <w:fldChar w:fldCharType="separate"/>
          </w:r>
          <w:r>
            <w:rPr>
              <w:rFonts w:hint="eastAsia" w:ascii="宋体" w:hAnsi="宋体" w:cs="宋体"/>
              <w:kern w:val="44"/>
              <w:sz w:val="28"/>
              <w:szCs w:val="36"/>
            </w:rPr>
            <w:t>9. 安装调试</w:t>
          </w:r>
          <w:r>
            <w:rPr>
              <w:rFonts w:hint="eastAsia" w:ascii="宋体" w:hAnsi="宋体" w:cs="宋体"/>
              <w:kern w:val="44"/>
              <w:sz w:val="28"/>
              <w:szCs w:val="36"/>
            </w:rPr>
            <w:tab/>
          </w:r>
          <w:r>
            <w:rPr>
              <w:rFonts w:hint="eastAsia" w:cs="宋体"/>
              <w:kern w:val="44"/>
              <w:sz w:val="28"/>
              <w:szCs w:val="36"/>
              <w:lang w:val="en-US" w:eastAsia="zh-CN"/>
            </w:rPr>
            <w:t>1</w:t>
          </w:r>
          <w:r>
            <w:rPr>
              <w:rFonts w:hint="eastAsia" w:ascii="宋体" w:hAnsi="宋体" w:cs="宋体"/>
              <w:kern w:val="44"/>
              <w:sz w:val="28"/>
              <w:szCs w:val="36"/>
            </w:rPr>
            <w:fldChar w:fldCharType="end"/>
          </w:r>
          <w:r>
            <w:rPr>
              <w:rFonts w:hint="eastAsia" w:cs="宋体"/>
              <w:kern w:val="44"/>
              <w:sz w:val="28"/>
              <w:szCs w:val="36"/>
              <w:lang w:val="en-US" w:eastAsia="zh-CN"/>
            </w:rPr>
            <w:t>9</w:t>
          </w:r>
        </w:p>
        <w:p>
          <w:pPr>
            <w:pStyle w:val="18"/>
            <w:tabs>
              <w:tab w:val="right" w:leader="dot" w:pos="8820"/>
              <w:tab w:val="clear" w:pos="9060"/>
            </w:tabs>
            <w:rPr>
              <w:rFonts w:hint="eastAsia" w:ascii="宋体" w:hAnsi="宋体" w:eastAsia="宋体" w:cs="宋体"/>
              <w:kern w:val="44"/>
              <w:sz w:val="28"/>
              <w:szCs w:val="36"/>
              <w:lang w:val="en-US" w:eastAsia="zh-CN"/>
            </w:rPr>
          </w:pPr>
          <w:r>
            <w:rPr>
              <w:rFonts w:hint="eastAsia" w:ascii="宋体" w:hAnsi="宋体" w:cs="宋体"/>
              <w:kern w:val="44"/>
              <w:sz w:val="28"/>
              <w:szCs w:val="36"/>
            </w:rPr>
            <w:fldChar w:fldCharType="begin"/>
          </w:r>
          <w:r>
            <w:rPr>
              <w:rFonts w:hint="eastAsia" w:ascii="宋体" w:hAnsi="宋体" w:cs="宋体"/>
              <w:kern w:val="44"/>
              <w:sz w:val="28"/>
              <w:szCs w:val="36"/>
            </w:rPr>
            <w:instrText xml:space="preserve"> HYPERLINK \l "_Toc32671" </w:instrText>
          </w:r>
          <w:r>
            <w:rPr>
              <w:rFonts w:hint="eastAsia" w:ascii="宋体" w:hAnsi="宋体" w:cs="宋体"/>
              <w:kern w:val="44"/>
              <w:sz w:val="28"/>
              <w:szCs w:val="36"/>
            </w:rPr>
            <w:fldChar w:fldCharType="separate"/>
          </w:r>
          <w:r>
            <w:rPr>
              <w:rFonts w:hint="eastAsia" w:ascii="宋体" w:hAnsi="宋体" w:cs="宋体"/>
              <w:kern w:val="44"/>
              <w:sz w:val="28"/>
              <w:szCs w:val="36"/>
            </w:rPr>
            <w:t>10. 性能验收</w:t>
          </w:r>
          <w:r>
            <w:rPr>
              <w:rFonts w:hint="eastAsia" w:ascii="宋体" w:hAnsi="宋体" w:cs="宋体"/>
              <w:kern w:val="44"/>
              <w:sz w:val="28"/>
              <w:szCs w:val="36"/>
            </w:rPr>
            <w:tab/>
          </w:r>
          <w:r>
            <w:rPr>
              <w:rFonts w:hint="eastAsia" w:cs="宋体"/>
              <w:kern w:val="44"/>
              <w:sz w:val="28"/>
              <w:szCs w:val="36"/>
              <w:lang w:val="en-US" w:eastAsia="zh-CN"/>
            </w:rPr>
            <w:t>2</w:t>
          </w:r>
          <w:r>
            <w:rPr>
              <w:rFonts w:hint="eastAsia" w:ascii="宋体" w:hAnsi="宋体" w:cs="宋体"/>
              <w:kern w:val="44"/>
              <w:sz w:val="28"/>
              <w:szCs w:val="36"/>
            </w:rPr>
            <w:fldChar w:fldCharType="end"/>
          </w:r>
          <w:r>
            <w:rPr>
              <w:rFonts w:hint="eastAsia" w:cs="宋体"/>
              <w:kern w:val="44"/>
              <w:sz w:val="28"/>
              <w:szCs w:val="36"/>
              <w:lang w:val="en-US" w:eastAsia="zh-CN"/>
            </w:rPr>
            <w:t>0</w:t>
          </w:r>
        </w:p>
        <w:p>
          <w:pPr>
            <w:pStyle w:val="18"/>
            <w:tabs>
              <w:tab w:val="right" w:leader="dot" w:pos="8820"/>
              <w:tab w:val="clear" w:pos="9060"/>
            </w:tabs>
            <w:rPr>
              <w:rFonts w:hint="eastAsia" w:ascii="宋体" w:hAnsi="宋体" w:eastAsia="宋体" w:cs="宋体"/>
              <w:kern w:val="44"/>
              <w:sz w:val="28"/>
              <w:szCs w:val="36"/>
              <w:lang w:val="en-US" w:eastAsia="zh-CN"/>
            </w:rPr>
          </w:pPr>
          <w:r>
            <w:rPr>
              <w:rFonts w:hint="eastAsia" w:ascii="宋体" w:hAnsi="宋体" w:cs="宋体"/>
              <w:kern w:val="44"/>
              <w:sz w:val="28"/>
              <w:szCs w:val="36"/>
            </w:rPr>
            <w:fldChar w:fldCharType="begin"/>
          </w:r>
          <w:r>
            <w:rPr>
              <w:rFonts w:hint="eastAsia" w:ascii="宋体" w:hAnsi="宋体" w:cs="宋体"/>
              <w:kern w:val="44"/>
              <w:sz w:val="28"/>
              <w:szCs w:val="36"/>
            </w:rPr>
            <w:instrText xml:space="preserve"> HYPERLINK \l "_Toc28933" </w:instrText>
          </w:r>
          <w:r>
            <w:rPr>
              <w:rFonts w:hint="eastAsia" w:ascii="宋体" w:hAnsi="宋体" w:cs="宋体"/>
              <w:kern w:val="44"/>
              <w:sz w:val="28"/>
              <w:szCs w:val="36"/>
            </w:rPr>
            <w:fldChar w:fldCharType="separate"/>
          </w:r>
          <w:r>
            <w:rPr>
              <w:rFonts w:hint="eastAsia" w:ascii="宋体" w:hAnsi="宋体" w:cs="宋体"/>
              <w:kern w:val="44"/>
              <w:sz w:val="28"/>
              <w:szCs w:val="36"/>
            </w:rPr>
            <w:t>11. 提供资料</w:t>
          </w:r>
          <w:r>
            <w:rPr>
              <w:rFonts w:hint="eastAsia" w:ascii="宋体" w:hAnsi="宋体" w:cs="宋体"/>
              <w:kern w:val="44"/>
              <w:sz w:val="28"/>
              <w:szCs w:val="36"/>
            </w:rPr>
            <w:tab/>
          </w:r>
          <w:r>
            <w:rPr>
              <w:rFonts w:hint="eastAsia" w:cs="宋体"/>
              <w:kern w:val="44"/>
              <w:sz w:val="28"/>
              <w:szCs w:val="36"/>
              <w:lang w:val="en-US" w:eastAsia="zh-CN"/>
            </w:rPr>
            <w:t>21</w:t>
          </w:r>
          <w:r>
            <w:rPr>
              <w:rFonts w:hint="eastAsia" w:ascii="宋体" w:hAnsi="宋体" w:cs="宋体"/>
              <w:kern w:val="44"/>
              <w:sz w:val="28"/>
              <w:szCs w:val="36"/>
            </w:rPr>
            <w:fldChar w:fldCharType="end"/>
          </w:r>
        </w:p>
        <w:p>
          <w:pPr>
            <w:pStyle w:val="18"/>
            <w:tabs>
              <w:tab w:val="right" w:leader="dot" w:pos="8820"/>
              <w:tab w:val="clear" w:pos="9060"/>
            </w:tabs>
            <w:rPr>
              <w:rFonts w:hint="eastAsia" w:ascii="宋体" w:hAnsi="宋体" w:eastAsia="宋体" w:cs="宋体"/>
              <w:kern w:val="44"/>
              <w:sz w:val="28"/>
              <w:szCs w:val="36"/>
              <w:lang w:val="en-US" w:eastAsia="zh-CN"/>
            </w:rPr>
          </w:pPr>
          <w:r>
            <w:rPr>
              <w:rFonts w:hint="eastAsia" w:ascii="宋体" w:hAnsi="宋体" w:cs="宋体"/>
              <w:kern w:val="44"/>
              <w:sz w:val="28"/>
              <w:szCs w:val="36"/>
            </w:rPr>
            <w:fldChar w:fldCharType="begin"/>
          </w:r>
          <w:r>
            <w:rPr>
              <w:rFonts w:hint="eastAsia" w:ascii="宋体" w:hAnsi="宋体" w:cs="宋体"/>
              <w:kern w:val="44"/>
              <w:sz w:val="28"/>
              <w:szCs w:val="36"/>
            </w:rPr>
            <w:instrText xml:space="preserve"> HYPERLINK \l "_Toc4340" </w:instrText>
          </w:r>
          <w:r>
            <w:rPr>
              <w:rFonts w:hint="eastAsia" w:ascii="宋体" w:hAnsi="宋体" w:cs="宋体"/>
              <w:kern w:val="44"/>
              <w:sz w:val="28"/>
              <w:szCs w:val="36"/>
            </w:rPr>
            <w:fldChar w:fldCharType="separate"/>
          </w:r>
          <w:r>
            <w:rPr>
              <w:rFonts w:hint="eastAsia" w:ascii="宋体" w:hAnsi="宋体" w:cs="宋体"/>
              <w:kern w:val="44"/>
              <w:sz w:val="28"/>
              <w:szCs w:val="36"/>
            </w:rPr>
            <w:t>12. 培训、技术服务和质量保障</w:t>
          </w:r>
          <w:r>
            <w:rPr>
              <w:rFonts w:hint="eastAsia" w:ascii="宋体" w:hAnsi="宋体" w:cs="宋体"/>
              <w:kern w:val="44"/>
              <w:sz w:val="28"/>
              <w:szCs w:val="36"/>
            </w:rPr>
            <w:tab/>
          </w:r>
          <w:r>
            <w:rPr>
              <w:rFonts w:hint="eastAsia" w:cs="宋体"/>
              <w:kern w:val="44"/>
              <w:sz w:val="28"/>
              <w:szCs w:val="36"/>
              <w:lang w:val="en-US" w:eastAsia="zh-CN"/>
            </w:rPr>
            <w:t>2</w:t>
          </w:r>
          <w:r>
            <w:rPr>
              <w:rFonts w:hint="eastAsia" w:ascii="宋体" w:hAnsi="宋体" w:cs="宋体"/>
              <w:kern w:val="44"/>
              <w:sz w:val="28"/>
              <w:szCs w:val="36"/>
            </w:rPr>
            <w:fldChar w:fldCharType="end"/>
          </w:r>
          <w:r>
            <w:rPr>
              <w:rFonts w:hint="eastAsia" w:cs="宋体"/>
              <w:kern w:val="44"/>
              <w:sz w:val="28"/>
              <w:szCs w:val="36"/>
              <w:lang w:val="en-US" w:eastAsia="zh-CN"/>
            </w:rPr>
            <w:t>0</w:t>
          </w:r>
        </w:p>
        <w:p>
          <w:pPr>
            <w:pStyle w:val="18"/>
            <w:tabs>
              <w:tab w:val="right" w:leader="dot" w:pos="8820"/>
              <w:tab w:val="clear" w:pos="9060"/>
            </w:tabs>
            <w:rPr>
              <w:rFonts w:hint="eastAsia" w:ascii="宋体" w:hAnsi="宋体" w:eastAsia="宋体" w:cs="宋体"/>
              <w:kern w:val="44"/>
              <w:sz w:val="28"/>
              <w:szCs w:val="36"/>
              <w:lang w:val="en-US" w:eastAsia="zh-CN"/>
            </w:rPr>
          </w:pPr>
          <w:r>
            <w:rPr>
              <w:rFonts w:hint="eastAsia" w:ascii="宋体" w:hAnsi="宋体" w:cs="宋体"/>
              <w:kern w:val="44"/>
              <w:sz w:val="28"/>
              <w:szCs w:val="36"/>
            </w:rPr>
            <w:fldChar w:fldCharType="begin"/>
          </w:r>
          <w:r>
            <w:rPr>
              <w:rFonts w:hint="eastAsia" w:ascii="宋体" w:hAnsi="宋体" w:cs="宋体"/>
              <w:kern w:val="44"/>
              <w:sz w:val="28"/>
              <w:szCs w:val="36"/>
            </w:rPr>
            <w:instrText xml:space="preserve"> HYPERLINK \l "_Toc27761" </w:instrText>
          </w:r>
          <w:r>
            <w:rPr>
              <w:rFonts w:hint="eastAsia" w:ascii="宋体" w:hAnsi="宋体" w:cs="宋体"/>
              <w:kern w:val="44"/>
              <w:sz w:val="28"/>
              <w:szCs w:val="36"/>
            </w:rPr>
            <w:fldChar w:fldCharType="separate"/>
          </w:r>
          <w:r>
            <w:rPr>
              <w:rFonts w:hint="eastAsia" w:ascii="宋体" w:hAnsi="宋体" w:cs="宋体"/>
              <w:kern w:val="44"/>
              <w:sz w:val="28"/>
              <w:szCs w:val="36"/>
            </w:rPr>
            <w:t>13. 技术废标条件</w:t>
          </w:r>
          <w:r>
            <w:rPr>
              <w:rFonts w:hint="eastAsia" w:ascii="宋体" w:hAnsi="宋体" w:cs="宋体"/>
              <w:kern w:val="44"/>
              <w:sz w:val="28"/>
              <w:szCs w:val="36"/>
            </w:rPr>
            <w:tab/>
          </w:r>
          <w:r>
            <w:rPr>
              <w:rFonts w:hint="eastAsia" w:cs="宋体"/>
              <w:kern w:val="44"/>
              <w:sz w:val="28"/>
              <w:szCs w:val="36"/>
              <w:lang w:val="en-US" w:eastAsia="zh-CN"/>
            </w:rPr>
            <w:t>2</w:t>
          </w:r>
          <w:r>
            <w:rPr>
              <w:rFonts w:hint="eastAsia" w:ascii="宋体" w:hAnsi="宋体" w:cs="宋体"/>
              <w:kern w:val="44"/>
              <w:sz w:val="28"/>
              <w:szCs w:val="36"/>
            </w:rPr>
            <w:fldChar w:fldCharType="end"/>
          </w:r>
          <w:r>
            <w:rPr>
              <w:rFonts w:hint="eastAsia" w:cs="宋体"/>
              <w:kern w:val="44"/>
              <w:sz w:val="28"/>
              <w:szCs w:val="36"/>
              <w:lang w:val="en-US" w:eastAsia="zh-CN"/>
            </w:rPr>
            <w:t>2</w:t>
          </w:r>
        </w:p>
        <w:p>
          <w:pPr>
            <w:ind w:firstLine="0" w:firstLineChars="0"/>
            <w:rPr>
              <w:b/>
              <w:bCs/>
              <w:sz w:val="28"/>
              <w:szCs w:val="28"/>
              <w:lang w:val="zh-CN"/>
            </w:rPr>
          </w:pPr>
          <w:r>
            <w:rPr>
              <w:rFonts w:ascii="Arial" w:hAnsi="Arial" w:cs="Arial"/>
              <w:sz w:val="28"/>
              <w:szCs w:val="36"/>
            </w:rPr>
            <w:fldChar w:fldCharType="end"/>
          </w:r>
        </w:p>
      </w:sdtContent>
    </w:sdt>
    <w:p>
      <w:pPr>
        <w:ind w:firstLine="199" w:firstLineChars="83"/>
        <w:sectPr>
          <w:headerReference r:id="rId11" w:type="first"/>
          <w:footerReference r:id="rId13" w:type="first"/>
          <w:footerReference r:id="rId12" w:type="default"/>
          <w:pgSz w:w="11906" w:h="16838"/>
          <w:pgMar w:top="1440" w:right="1797" w:bottom="1440" w:left="1797" w:header="851" w:footer="992" w:gutter="0"/>
          <w:pgNumType w:fmt="upperRoman" w:start="1"/>
          <w:cols w:space="425" w:num="1"/>
          <w:docGrid w:type="lines" w:linePitch="326" w:charSpace="0"/>
        </w:sectPr>
      </w:pPr>
    </w:p>
    <w:bookmarkEnd w:id="0"/>
    <w:bookmarkEnd w:id="1"/>
    <w:bookmarkEnd w:id="2"/>
    <w:p>
      <w:pPr>
        <w:pStyle w:val="2"/>
        <w:keepLines/>
        <w:numPr>
          <w:ilvl w:val="0"/>
          <w:numId w:val="2"/>
        </w:numPr>
        <w:adjustRightInd w:val="0"/>
        <w:snapToGrid w:val="0"/>
        <w:spacing w:before="156" w:beforeLines="50" w:after="156" w:afterLines="50" w:line="360" w:lineRule="auto"/>
        <w:jc w:val="left"/>
        <w:textAlignment w:val="baseline"/>
        <w:rPr>
          <w:rFonts w:hint="eastAsia" w:ascii="宋体" w:hAnsi="宋体" w:cs="宋体"/>
          <w:b w:val="0"/>
          <w:bCs w:val="0"/>
          <w:kern w:val="44"/>
          <w:sz w:val="24"/>
        </w:rPr>
      </w:pPr>
      <w:bookmarkStart w:id="3" w:name="_Toc26443"/>
      <w:bookmarkStart w:id="4" w:name="_Toc69456614"/>
      <w:bookmarkStart w:id="5" w:name="_Toc372094319"/>
      <w:r>
        <w:rPr>
          <w:rFonts w:hint="eastAsia" w:ascii="宋体" w:hAnsi="宋体" w:cs="宋体"/>
          <w:b w:val="0"/>
          <w:bCs w:val="0"/>
          <w:kern w:val="44"/>
          <w:sz w:val="24"/>
        </w:rPr>
        <w:t>总体说明</w:t>
      </w:r>
      <w:bookmarkEnd w:id="3"/>
    </w:p>
    <w:p>
      <w:pPr>
        <w:snapToGrid w:val="0"/>
        <w:spacing w:line="360" w:lineRule="auto"/>
        <w:ind w:right="17" w:rightChars="7" w:firstLine="567"/>
        <w:jc w:val="left"/>
        <w:rPr>
          <w:rFonts w:hint="eastAsia" w:ascii="宋体" w:hAnsi="宋体" w:cs="宋体"/>
          <w:kern w:val="16"/>
          <w:sz w:val="24"/>
        </w:rPr>
      </w:pPr>
      <w:r>
        <w:rPr>
          <w:rFonts w:hint="eastAsia" w:ascii="宋体" w:hAnsi="宋体" w:cs="宋体"/>
          <w:kern w:val="16"/>
          <w:sz w:val="24"/>
        </w:rPr>
        <w:t>1.1本技术规范的适用范围仅限于科达锂电池负极材料智能化生产项目</w:t>
      </w:r>
      <w:r>
        <w:rPr>
          <w:rFonts w:hint="eastAsia" w:ascii="宋体" w:hAnsi="宋体" w:cs="宋体"/>
          <w:kern w:val="0"/>
          <w:sz w:val="24"/>
        </w:rPr>
        <w:t>35kV开关柜</w:t>
      </w:r>
      <w:r>
        <w:rPr>
          <w:rFonts w:hint="eastAsia" w:ascii="宋体" w:hAnsi="宋体" w:cs="宋体"/>
          <w:kern w:val="16"/>
          <w:sz w:val="24"/>
        </w:rPr>
        <w:t>的技术参数与结构要求、订货、调试及售后服务等方面等具体内容。</w:t>
      </w:r>
    </w:p>
    <w:p>
      <w:pPr>
        <w:snapToGrid w:val="0"/>
        <w:spacing w:line="360" w:lineRule="auto"/>
        <w:ind w:right="17" w:rightChars="7" w:firstLine="567"/>
        <w:rPr>
          <w:rFonts w:hint="eastAsia" w:ascii="宋体" w:hAnsi="宋体" w:cs="宋体"/>
          <w:kern w:val="16"/>
          <w:sz w:val="24"/>
        </w:rPr>
      </w:pPr>
      <w:r>
        <w:rPr>
          <w:rFonts w:hint="eastAsia" w:ascii="宋体" w:hAnsi="宋体" w:cs="宋体"/>
          <w:kern w:val="16"/>
          <w:sz w:val="24"/>
        </w:rPr>
        <w:t>1.2本技术规范提出的是最低限度的要求，并未对一切技术细节做出规定，也未充分引述有关标准和规范的条文，供方应保证提供符合本技术协议和有关最新工业标准的成熟优质产品。</w:t>
      </w:r>
    </w:p>
    <w:p>
      <w:pPr>
        <w:snapToGrid w:val="0"/>
        <w:spacing w:line="360" w:lineRule="auto"/>
        <w:ind w:right="17" w:rightChars="7" w:firstLine="567"/>
        <w:rPr>
          <w:rFonts w:hint="eastAsia" w:ascii="宋体" w:hAnsi="宋体" w:cs="宋体"/>
          <w:kern w:val="16"/>
          <w:sz w:val="24"/>
        </w:rPr>
      </w:pPr>
      <w:r>
        <w:rPr>
          <w:rFonts w:hint="eastAsia" w:ascii="宋体" w:hAnsi="宋体" w:cs="宋体"/>
          <w:kern w:val="16"/>
          <w:sz w:val="24"/>
        </w:rPr>
        <w:t>1.3本技术规范提出的是最低限度的技术要求。除规定的技术参数和要求外，其余均应遵循最新版本的国家标准（GB）、电力行业标准（DL）和国际单位制（SI）。</w:t>
      </w:r>
    </w:p>
    <w:p>
      <w:pPr>
        <w:snapToGrid w:val="0"/>
        <w:spacing w:line="360" w:lineRule="auto"/>
        <w:ind w:right="17" w:rightChars="7" w:firstLine="567"/>
        <w:rPr>
          <w:rFonts w:hint="eastAsia" w:ascii="宋体" w:hAnsi="宋体" w:cs="宋体"/>
          <w:kern w:val="16"/>
          <w:sz w:val="24"/>
        </w:rPr>
      </w:pPr>
      <w:r>
        <w:rPr>
          <w:rFonts w:hint="eastAsia" w:ascii="宋体" w:hAnsi="宋体" w:cs="宋体"/>
          <w:kern w:val="16"/>
          <w:sz w:val="24"/>
        </w:rPr>
        <w:t>1.4如果供方选用本技术规范规定以外的标准时，则需提交这种替换标准供审查和分析。</w:t>
      </w:r>
    </w:p>
    <w:p>
      <w:pPr>
        <w:snapToGrid w:val="0"/>
        <w:spacing w:line="360" w:lineRule="auto"/>
        <w:ind w:right="17" w:rightChars="7" w:firstLine="567"/>
        <w:rPr>
          <w:rFonts w:hint="eastAsia" w:ascii="宋体" w:hAnsi="宋体" w:cs="宋体"/>
          <w:kern w:val="16"/>
          <w:sz w:val="24"/>
        </w:rPr>
      </w:pPr>
      <w:r>
        <w:rPr>
          <w:rFonts w:hint="eastAsia" w:ascii="宋体" w:hAnsi="宋体" w:cs="宋体"/>
          <w:kern w:val="16"/>
          <w:sz w:val="24"/>
        </w:rPr>
        <w:t>1.5本技术规范所使用的标准如与供方所执行的标准发生矛盾时，按较高标准执行。</w:t>
      </w:r>
    </w:p>
    <w:p>
      <w:pPr>
        <w:snapToGrid w:val="0"/>
        <w:spacing w:line="360" w:lineRule="auto"/>
        <w:ind w:right="17" w:rightChars="7" w:firstLine="567"/>
        <w:rPr>
          <w:rFonts w:hint="eastAsia" w:ascii="宋体" w:hAnsi="宋体" w:cs="宋体"/>
          <w:kern w:val="16"/>
          <w:sz w:val="24"/>
        </w:rPr>
      </w:pPr>
      <w:r>
        <w:rPr>
          <w:rFonts w:hint="eastAsia" w:ascii="宋体" w:hAnsi="宋体" w:cs="宋体"/>
          <w:kern w:val="16"/>
          <w:sz w:val="24"/>
        </w:rPr>
        <w:t>1.6在签定合同之后，需方保留对本技术规范提出补充要求和修改的权力，供方应允诺予以配合。如提出修改，具体项目和条件由供、需双方协商确定。</w:t>
      </w:r>
    </w:p>
    <w:p>
      <w:pPr>
        <w:snapToGrid w:val="0"/>
        <w:spacing w:line="360" w:lineRule="auto"/>
        <w:ind w:right="17" w:rightChars="7" w:firstLine="567"/>
        <w:rPr>
          <w:rFonts w:hint="eastAsia" w:ascii="宋体" w:hAnsi="宋体" w:cs="宋体"/>
          <w:kern w:val="16"/>
          <w:sz w:val="24"/>
        </w:rPr>
      </w:pPr>
      <w:r>
        <w:rPr>
          <w:rFonts w:hint="eastAsia" w:ascii="宋体" w:hAnsi="宋体" w:cs="宋体"/>
          <w:kern w:val="16"/>
          <w:sz w:val="24"/>
        </w:rPr>
        <w:t>1.7本技术规范只在本次招标询价事宜中有效。</w:t>
      </w:r>
    </w:p>
    <w:p>
      <w:pPr>
        <w:pStyle w:val="2"/>
        <w:keepLines/>
        <w:numPr>
          <w:ilvl w:val="0"/>
          <w:numId w:val="2"/>
        </w:numPr>
        <w:adjustRightInd w:val="0"/>
        <w:snapToGrid w:val="0"/>
        <w:spacing w:before="156" w:beforeLines="50" w:after="156" w:afterLines="50" w:line="360" w:lineRule="auto"/>
        <w:jc w:val="left"/>
        <w:textAlignment w:val="baseline"/>
        <w:rPr>
          <w:rFonts w:hint="eastAsia" w:ascii="宋体" w:hAnsi="宋体" w:cs="宋体"/>
          <w:b w:val="0"/>
          <w:bCs w:val="0"/>
          <w:kern w:val="44"/>
          <w:sz w:val="24"/>
        </w:rPr>
      </w:pPr>
      <w:bookmarkStart w:id="6" w:name="_Toc15718"/>
      <w:r>
        <w:rPr>
          <w:rFonts w:hint="eastAsia" w:ascii="宋体" w:hAnsi="宋体" w:cs="宋体"/>
          <w:b w:val="0"/>
          <w:bCs w:val="0"/>
          <w:kern w:val="44"/>
          <w:sz w:val="24"/>
        </w:rPr>
        <w:t>建设条件</w:t>
      </w:r>
      <w:bookmarkEnd w:id="6"/>
    </w:p>
    <w:p>
      <w:pPr>
        <w:snapToGrid w:val="0"/>
        <w:spacing w:line="360" w:lineRule="auto"/>
        <w:ind w:right="17" w:rightChars="7" w:firstLine="567"/>
        <w:rPr>
          <w:rFonts w:hint="eastAsia" w:ascii="宋体" w:hAnsi="宋体" w:cs="宋体"/>
          <w:kern w:val="16"/>
          <w:sz w:val="24"/>
          <w:lang w:val="zh-CN"/>
        </w:rPr>
      </w:pPr>
      <w:bookmarkStart w:id="7" w:name="_Toc249436163"/>
      <w:r>
        <w:rPr>
          <w:rFonts w:hint="eastAsia" w:ascii="宋体" w:hAnsi="宋体" w:cs="宋体"/>
          <w:kern w:val="16"/>
          <w:sz w:val="24"/>
        </w:rPr>
        <w:t>2.</w:t>
      </w:r>
      <w:r>
        <w:rPr>
          <w:rFonts w:hint="eastAsia" w:ascii="宋体" w:hAnsi="宋体" w:cs="宋体"/>
          <w:kern w:val="16"/>
          <w:sz w:val="24"/>
          <w:lang w:val="zh-CN"/>
        </w:rPr>
        <w:t>1</w:t>
      </w:r>
      <w:r>
        <w:rPr>
          <w:rFonts w:hint="eastAsia" w:ascii="宋体" w:hAnsi="宋体" w:cs="宋体"/>
          <w:kern w:val="16"/>
          <w:sz w:val="24"/>
        </w:rPr>
        <w:t xml:space="preserve"> </w:t>
      </w:r>
      <w:r>
        <w:rPr>
          <w:rFonts w:hint="eastAsia" w:ascii="宋体" w:hAnsi="宋体" w:cs="宋体"/>
          <w:kern w:val="16"/>
          <w:sz w:val="24"/>
          <w:lang w:val="zh-CN"/>
        </w:rPr>
        <w:t>项目概况</w:t>
      </w:r>
    </w:p>
    <w:p>
      <w:pPr>
        <w:numPr>
          <w:ilvl w:val="0"/>
          <w:numId w:val="3"/>
        </w:numPr>
        <w:snapToGrid w:val="0"/>
        <w:spacing w:line="360" w:lineRule="auto"/>
        <w:ind w:left="0" w:right="17" w:rightChars="7" w:firstLine="480" w:firstLineChars="200"/>
        <w:rPr>
          <w:rFonts w:hint="eastAsia" w:ascii="宋体" w:hAnsi="宋体" w:cs="宋体"/>
          <w:kern w:val="16"/>
          <w:sz w:val="24"/>
        </w:rPr>
      </w:pPr>
      <w:r>
        <w:rPr>
          <w:rFonts w:hint="eastAsia" w:ascii="宋体" w:hAnsi="宋体" w:cs="宋体"/>
          <w:kern w:val="16"/>
          <w:sz w:val="24"/>
        </w:rPr>
        <w:t xml:space="preserve">项目名称：科达锂电池负极材料智能化生产项目 </w:t>
      </w:r>
    </w:p>
    <w:p>
      <w:pPr>
        <w:numPr>
          <w:ilvl w:val="0"/>
          <w:numId w:val="3"/>
        </w:numPr>
        <w:snapToGrid w:val="0"/>
        <w:spacing w:line="360" w:lineRule="auto"/>
        <w:ind w:left="0" w:right="17" w:rightChars="7" w:firstLine="480" w:firstLineChars="200"/>
        <w:rPr>
          <w:rFonts w:hint="eastAsia" w:ascii="宋体" w:hAnsi="宋体" w:cs="宋体"/>
          <w:kern w:val="16"/>
          <w:sz w:val="24"/>
        </w:rPr>
      </w:pPr>
      <w:r>
        <w:rPr>
          <w:rFonts w:hint="eastAsia" w:ascii="宋体" w:hAnsi="宋体" w:cs="宋体"/>
          <w:kern w:val="16"/>
          <w:sz w:val="24"/>
        </w:rPr>
        <w:t xml:space="preserve">投资单位：重庆科达新能源材料有限公司 </w:t>
      </w:r>
    </w:p>
    <w:p>
      <w:pPr>
        <w:numPr>
          <w:ilvl w:val="0"/>
          <w:numId w:val="3"/>
        </w:numPr>
        <w:snapToGrid w:val="0"/>
        <w:spacing w:line="360" w:lineRule="auto"/>
        <w:ind w:left="0" w:right="17" w:rightChars="7" w:firstLine="480" w:firstLineChars="200"/>
        <w:rPr>
          <w:rFonts w:hint="eastAsia" w:ascii="宋体" w:hAnsi="宋体" w:cs="宋体"/>
          <w:kern w:val="16"/>
          <w:sz w:val="24"/>
        </w:rPr>
      </w:pPr>
      <w:r>
        <w:rPr>
          <w:rFonts w:hint="eastAsia" w:ascii="宋体" w:hAnsi="宋体" w:cs="宋体"/>
          <w:kern w:val="16"/>
          <w:sz w:val="24"/>
        </w:rPr>
        <w:t>建设地点：重庆市铜梁区大庙镇</w:t>
      </w:r>
    </w:p>
    <w:p>
      <w:pPr>
        <w:numPr>
          <w:ilvl w:val="0"/>
          <w:numId w:val="3"/>
        </w:numPr>
        <w:snapToGrid w:val="0"/>
        <w:spacing w:line="360" w:lineRule="auto"/>
        <w:ind w:left="0" w:right="17" w:rightChars="7" w:firstLine="480" w:firstLineChars="200"/>
        <w:rPr>
          <w:rFonts w:hint="eastAsia" w:ascii="宋体" w:hAnsi="宋体" w:cs="宋体"/>
          <w:kern w:val="16"/>
          <w:sz w:val="24"/>
        </w:rPr>
      </w:pPr>
      <w:r>
        <w:rPr>
          <w:rFonts w:hint="eastAsia" w:ascii="宋体" w:hAnsi="宋体" w:cs="宋体"/>
          <w:kern w:val="16"/>
          <w:sz w:val="24"/>
        </w:rPr>
        <w:t>建设性质：新建</w:t>
      </w:r>
    </w:p>
    <w:bookmarkEnd w:id="7"/>
    <w:p>
      <w:pPr>
        <w:snapToGrid w:val="0"/>
        <w:spacing w:line="360" w:lineRule="auto"/>
        <w:ind w:right="17" w:rightChars="7" w:firstLine="567"/>
        <w:rPr>
          <w:rFonts w:hint="eastAsia" w:ascii="宋体" w:hAnsi="宋体" w:cs="宋体"/>
          <w:kern w:val="16"/>
          <w:sz w:val="24"/>
        </w:rPr>
      </w:pPr>
      <w:r>
        <w:rPr>
          <w:rFonts w:hint="eastAsia" w:ascii="宋体" w:hAnsi="宋体" w:cs="宋体"/>
          <w:kern w:val="16"/>
          <w:sz w:val="24"/>
        </w:rPr>
        <w:t>2.2 建设地气象资料</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历年极端最高气温             4</w:t>
      </w:r>
      <w:r>
        <w:rPr>
          <w:rFonts w:hint="eastAsia" w:ascii="宋体" w:hAnsi="宋体" w:cs="宋体"/>
          <w:kern w:val="16"/>
          <w:sz w:val="24"/>
        </w:rPr>
        <w:t>4</w:t>
      </w:r>
      <w:r>
        <w:rPr>
          <w:rFonts w:hint="eastAsia" w:ascii="宋体" w:hAnsi="宋体" w:cs="宋体"/>
          <w:kern w:val="16"/>
          <w:sz w:val="24"/>
          <w:lang w:val="zh-CN"/>
        </w:rPr>
        <w:t>.1</w:t>
      </w:r>
      <w:r>
        <w:rPr>
          <w:rFonts w:hint="eastAsia" w:ascii="宋体" w:hAnsi="宋体" w:cs="宋体"/>
          <w:kern w:val="16"/>
          <w:sz w:val="24"/>
        </w:rPr>
        <w:t>℃</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历年平均气温                 18.</w:t>
      </w:r>
      <w:r>
        <w:rPr>
          <w:rFonts w:hint="eastAsia" w:ascii="宋体" w:hAnsi="宋体" w:cs="宋体"/>
          <w:kern w:val="16"/>
          <w:sz w:val="24"/>
        </w:rPr>
        <w:t>4℃</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 xml:space="preserve">历年极端最低气温           </w:t>
      </w:r>
      <w:r>
        <w:rPr>
          <w:rFonts w:hint="eastAsia" w:ascii="宋体" w:hAnsi="宋体" w:cs="宋体"/>
          <w:kern w:val="16"/>
          <w:sz w:val="24"/>
        </w:rPr>
        <w:t xml:space="preserve"> </w:t>
      </w:r>
      <w:r>
        <w:rPr>
          <w:rFonts w:hint="eastAsia" w:ascii="宋体" w:hAnsi="宋体" w:cs="宋体"/>
          <w:kern w:val="16"/>
          <w:sz w:val="24"/>
          <w:lang w:val="zh-CN"/>
        </w:rPr>
        <w:t xml:space="preserve"> -</w:t>
      </w:r>
      <w:r>
        <w:rPr>
          <w:rFonts w:hint="eastAsia" w:ascii="宋体" w:hAnsi="宋体" w:cs="宋体"/>
          <w:kern w:val="16"/>
          <w:sz w:val="24"/>
        </w:rPr>
        <w:t>2</w:t>
      </w:r>
      <w:r>
        <w:rPr>
          <w:rFonts w:hint="eastAsia" w:ascii="宋体" w:hAnsi="宋体" w:cs="宋体"/>
          <w:kern w:val="16"/>
          <w:sz w:val="24"/>
          <w:lang w:val="zh-CN"/>
        </w:rPr>
        <w:t>.</w:t>
      </w:r>
      <w:r>
        <w:rPr>
          <w:rFonts w:hint="eastAsia" w:ascii="宋体" w:hAnsi="宋体" w:cs="宋体"/>
          <w:kern w:val="16"/>
          <w:sz w:val="24"/>
        </w:rPr>
        <w:t>5℃</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历年平均相对湿度             8</w:t>
      </w:r>
      <w:r>
        <w:rPr>
          <w:rFonts w:hint="eastAsia" w:ascii="宋体" w:hAnsi="宋体" w:cs="宋体"/>
          <w:kern w:val="16"/>
          <w:sz w:val="24"/>
        </w:rPr>
        <w:t>0.4%</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历年平均降雨量               1</w:t>
      </w:r>
      <w:r>
        <w:rPr>
          <w:rFonts w:hint="eastAsia" w:ascii="宋体" w:hAnsi="宋体" w:cs="宋体"/>
          <w:kern w:val="16"/>
          <w:sz w:val="24"/>
        </w:rPr>
        <w:t>0</w:t>
      </w:r>
      <w:r>
        <w:rPr>
          <w:rFonts w:hint="eastAsia" w:ascii="宋体" w:hAnsi="宋体" w:cs="宋体"/>
          <w:kern w:val="16"/>
          <w:sz w:val="24"/>
          <w:lang w:val="zh-CN"/>
        </w:rPr>
        <w:t>8</w:t>
      </w:r>
      <w:r>
        <w:rPr>
          <w:rFonts w:hint="eastAsia" w:ascii="宋体" w:hAnsi="宋体" w:cs="宋体"/>
          <w:kern w:val="16"/>
          <w:sz w:val="24"/>
        </w:rPr>
        <w:t>2</w:t>
      </w:r>
      <w:r>
        <w:rPr>
          <w:rFonts w:hint="eastAsia" w:ascii="宋体" w:hAnsi="宋体" w:cs="宋体"/>
          <w:kern w:val="16"/>
          <w:sz w:val="24"/>
          <w:lang w:val="zh-CN"/>
        </w:rPr>
        <w:t>.</w:t>
      </w:r>
      <w:r>
        <w:rPr>
          <w:rFonts w:hint="eastAsia" w:ascii="宋体" w:hAnsi="宋体" w:cs="宋体"/>
          <w:kern w:val="16"/>
          <w:sz w:val="24"/>
        </w:rPr>
        <w:t>4</w:t>
      </w:r>
      <w:r>
        <w:rPr>
          <w:rFonts w:hint="eastAsia" w:ascii="宋体" w:hAnsi="宋体" w:cs="宋体"/>
          <w:kern w:val="16"/>
          <w:sz w:val="24"/>
          <w:lang w:val="zh-CN"/>
        </w:rPr>
        <w:t>mm</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历年最大降雨量               1</w:t>
      </w:r>
      <w:r>
        <w:rPr>
          <w:rFonts w:hint="eastAsia" w:ascii="宋体" w:hAnsi="宋体" w:cs="宋体"/>
          <w:kern w:val="16"/>
          <w:sz w:val="24"/>
        </w:rPr>
        <w:t>482</w:t>
      </w:r>
      <w:r>
        <w:rPr>
          <w:rFonts w:hint="eastAsia" w:ascii="宋体" w:hAnsi="宋体" w:cs="宋体"/>
          <w:kern w:val="16"/>
          <w:sz w:val="24"/>
          <w:lang w:val="zh-CN"/>
        </w:rPr>
        <w:t>.2mm</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 xml:space="preserve">年平均风速                   </w:t>
      </w:r>
      <w:r>
        <w:rPr>
          <w:rFonts w:hint="eastAsia" w:ascii="宋体" w:hAnsi="宋体" w:cs="宋体"/>
          <w:kern w:val="16"/>
          <w:sz w:val="24"/>
        </w:rPr>
        <w:t>1.0 m/s</w:t>
      </w:r>
      <w:r>
        <w:rPr>
          <w:rFonts w:hint="eastAsia" w:ascii="宋体" w:hAnsi="宋体" w:cs="宋体"/>
          <w:kern w:val="16"/>
          <w:sz w:val="24"/>
          <w:lang w:val="zh-CN"/>
        </w:rPr>
        <w:t xml:space="preserve">                         </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年日照时数                   1</w:t>
      </w:r>
      <w:r>
        <w:rPr>
          <w:rFonts w:hint="eastAsia" w:ascii="宋体" w:hAnsi="宋体" w:cs="宋体"/>
          <w:kern w:val="16"/>
          <w:sz w:val="24"/>
        </w:rPr>
        <w:t>091</w:t>
      </w:r>
      <w:r>
        <w:rPr>
          <w:rFonts w:hint="eastAsia" w:ascii="宋体" w:hAnsi="宋体" w:cs="宋体"/>
          <w:kern w:val="16"/>
          <w:sz w:val="24"/>
          <w:lang w:val="zh-CN"/>
        </w:rPr>
        <w:t>.</w:t>
      </w:r>
      <w:r>
        <w:rPr>
          <w:rFonts w:hint="eastAsia" w:ascii="宋体" w:hAnsi="宋体" w:cs="宋体"/>
          <w:kern w:val="16"/>
          <w:sz w:val="24"/>
        </w:rPr>
        <w:t>4</w:t>
      </w:r>
      <w:r>
        <w:rPr>
          <w:rFonts w:hint="eastAsia" w:ascii="宋体" w:hAnsi="宋体" w:cs="宋体"/>
          <w:kern w:val="16"/>
          <w:sz w:val="24"/>
          <w:lang w:val="zh-CN"/>
        </w:rPr>
        <w:t>h</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 xml:space="preserve">年平均雷暴日数               </w:t>
      </w:r>
      <w:r>
        <w:rPr>
          <w:rFonts w:hint="eastAsia" w:ascii="宋体" w:hAnsi="宋体" w:cs="宋体"/>
          <w:kern w:val="16"/>
          <w:sz w:val="24"/>
        </w:rPr>
        <w:t>45</w:t>
      </w:r>
      <w:r>
        <w:rPr>
          <w:rFonts w:hint="eastAsia" w:ascii="宋体" w:hAnsi="宋体" w:cs="宋体"/>
          <w:kern w:val="16"/>
          <w:sz w:val="24"/>
          <w:lang w:val="zh-CN"/>
        </w:rPr>
        <w:t>.</w:t>
      </w:r>
      <w:r>
        <w:rPr>
          <w:rFonts w:hint="eastAsia" w:ascii="宋体" w:hAnsi="宋体" w:cs="宋体"/>
          <w:kern w:val="16"/>
          <w:sz w:val="24"/>
        </w:rPr>
        <w:t>1</w:t>
      </w:r>
      <w:r>
        <w:rPr>
          <w:rFonts w:hint="eastAsia" w:ascii="宋体" w:hAnsi="宋体" w:cs="宋体"/>
          <w:kern w:val="16"/>
          <w:sz w:val="24"/>
          <w:lang w:val="zh-CN"/>
        </w:rPr>
        <w:t>d</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 xml:space="preserve">地震烈度：          </w:t>
      </w:r>
      <w:r>
        <w:rPr>
          <w:rFonts w:hint="eastAsia" w:ascii="宋体" w:hAnsi="宋体" w:cs="宋体"/>
          <w:kern w:val="16"/>
          <w:sz w:val="24"/>
        </w:rPr>
        <w:t xml:space="preserve">         </w:t>
      </w:r>
      <w:r>
        <w:rPr>
          <w:rFonts w:hint="eastAsia" w:ascii="宋体" w:hAnsi="宋体" w:cs="宋体"/>
          <w:kern w:val="16"/>
          <w:sz w:val="24"/>
          <w:lang w:val="zh-CN"/>
        </w:rPr>
        <w:t>6度(a=0.05g)</w:t>
      </w:r>
    </w:p>
    <w:p>
      <w:pPr>
        <w:numPr>
          <w:ilvl w:val="0"/>
          <w:numId w:val="3"/>
        </w:numPr>
        <w:snapToGrid w:val="0"/>
        <w:spacing w:line="360" w:lineRule="auto"/>
        <w:ind w:left="0" w:right="17" w:rightChars="7" w:firstLine="480" w:firstLineChars="200"/>
        <w:rPr>
          <w:rFonts w:hint="eastAsia" w:ascii="宋体" w:hAnsi="宋体" w:cs="宋体"/>
          <w:kern w:val="16"/>
          <w:sz w:val="24"/>
          <w:lang w:val="zh-CN"/>
        </w:rPr>
      </w:pPr>
      <w:r>
        <w:rPr>
          <w:rFonts w:hint="eastAsia" w:ascii="宋体" w:hAnsi="宋体" w:cs="宋体"/>
          <w:kern w:val="16"/>
          <w:sz w:val="24"/>
          <w:lang w:val="zh-CN"/>
        </w:rPr>
        <w:t xml:space="preserve">平均海拔高度                 </w:t>
      </w:r>
      <w:r>
        <w:rPr>
          <w:rFonts w:hint="eastAsia" w:ascii="宋体" w:hAnsi="宋体" w:cs="宋体"/>
          <w:kern w:val="16"/>
          <w:sz w:val="24"/>
        </w:rPr>
        <w:t>321</w:t>
      </w:r>
      <w:r>
        <w:rPr>
          <w:rFonts w:hint="eastAsia" w:ascii="宋体" w:hAnsi="宋体" w:cs="宋体"/>
          <w:kern w:val="16"/>
          <w:sz w:val="24"/>
          <w:lang w:val="zh-CN"/>
        </w:rPr>
        <w:t>m</w:t>
      </w:r>
    </w:p>
    <w:p>
      <w:pPr>
        <w:snapToGrid w:val="0"/>
        <w:spacing w:line="360" w:lineRule="auto"/>
        <w:ind w:right="17" w:rightChars="7" w:firstLine="567"/>
        <w:rPr>
          <w:rFonts w:hint="eastAsia" w:ascii="宋体" w:hAnsi="宋体" w:cs="宋体"/>
          <w:kern w:val="16"/>
          <w:sz w:val="24"/>
          <w:lang w:val="zh-CN"/>
        </w:rPr>
      </w:pPr>
      <w:r>
        <w:rPr>
          <w:rFonts w:hint="eastAsia" w:ascii="宋体" w:hAnsi="宋体" w:cs="宋体"/>
          <w:kern w:val="16"/>
          <w:sz w:val="24"/>
        </w:rPr>
        <w:t>2.</w:t>
      </w:r>
      <w:r>
        <w:rPr>
          <w:rFonts w:hint="eastAsia" w:ascii="宋体" w:hAnsi="宋体" w:cs="宋体"/>
          <w:kern w:val="16"/>
          <w:sz w:val="24"/>
          <w:lang w:val="zh-CN"/>
        </w:rPr>
        <w:t>3</w:t>
      </w:r>
      <w:r>
        <w:rPr>
          <w:rFonts w:hint="eastAsia" w:ascii="宋体" w:hAnsi="宋体" w:cs="宋体"/>
          <w:kern w:val="16"/>
          <w:sz w:val="24"/>
        </w:rPr>
        <w:t xml:space="preserve"> </w:t>
      </w:r>
      <w:r>
        <w:rPr>
          <w:rFonts w:hint="eastAsia" w:ascii="宋体" w:hAnsi="宋体" w:cs="宋体"/>
          <w:kern w:val="16"/>
          <w:sz w:val="24"/>
          <w:lang w:val="zh-CN"/>
        </w:rPr>
        <w:t>供电条件</w:t>
      </w:r>
    </w:p>
    <w:p>
      <w:pPr>
        <w:numPr>
          <w:ilvl w:val="0"/>
          <w:numId w:val="3"/>
        </w:numPr>
        <w:snapToGrid w:val="0"/>
        <w:spacing w:line="360" w:lineRule="auto"/>
        <w:ind w:left="0" w:right="17" w:rightChars="7" w:firstLine="480" w:firstLineChars="200"/>
        <w:rPr>
          <w:rFonts w:hint="eastAsia" w:ascii="宋体" w:hAnsi="宋体" w:cs="宋体"/>
          <w:kern w:val="16"/>
          <w:sz w:val="24"/>
        </w:rPr>
      </w:pPr>
      <w:r>
        <w:rPr>
          <w:rFonts w:hint="eastAsia" w:ascii="宋体" w:hAnsi="宋体" w:cs="宋体"/>
          <w:kern w:val="16"/>
          <w:sz w:val="24"/>
        </w:rPr>
        <w:t>类型：交流电</w:t>
      </w:r>
    </w:p>
    <w:p>
      <w:pPr>
        <w:numPr>
          <w:ilvl w:val="0"/>
          <w:numId w:val="3"/>
        </w:numPr>
        <w:snapToGrid w:val="0"/>
        <w:spacing w:line="360" w:lineRule="auto"/>
        <w:ind w:left="0" w:right="17" w:rightChars="7" w:firstLine="480" w:firstLineChars="200"/>
        <w:rPr>
          <w:rFonts w:hint="eastAsia" w:ascii="宋体" w:hAnsi="宋体" w:cs="宋体"/>
          <w:kern w:val="16"/>
          <w:sz w:val="24"/>
        </w:rPr>
      </w:pPr>
      <w:r>
        <w:rPr>
          <w:rFonts w:hint="eastAsia" w:ascii="宋体" w:hAnsi="宋体" w:cs="宋体"/>
          <w:kern w:val="16"/>
          <w:sz w:val="24"/>
        </w:rPr>
        <w:t>电压：35 kV</w:t>
      </w:r>
    </w:p>
    <w:p>
      <w:pPr>
        <w:numPr>
          <w:ilvl w:val="0"/>
          <w:numId w:val="3"/>
        </w:numPr>
        <w:snapToGrid w:val="0"/>
        <w:spacing w:line="360" w:lineRule="auto"/>
        <w:ind w:left="0" w:right="17" w:rightChars="7" w:firstLine="480" w:firstLineChars="200"/>
        <w:rPr>
          <w:rFonts w:hint="eastAsia" w:ascii="宋体" w:hAnsi="宋体" w:cs="宋体"/>
          <w:kern w:val="16"/>
          <w:sz w:val="24"/>
          <w:lang w:val="en-AU"/>
        </w:rPr>
      </w:pPr>
      <w:r>
        <w:rPr>
          <w:rFonts w:hint="eastAsia" w:ascii="宋体" w:hAnsi="宋体" w:cs="宋体"/>
          <w:kern w:val="16"/>
          <w:sz w:val="24"/>
        </w:rPr>
        <w:t>频率：50 Hz</w:t>
      </w:r>
    </w:p>
    <w:p>
      <w:pPr>
        <w:pStyle w:val="2"/>
        <w:keepLines/>
        <w:numPr>
          <w:ilvl w:val="0"/>
          <w:numId w:val="2"/>
        </w:numPr>
        <w:adjustRightInd w:val="0"/>
        <w:snapToGrid w:val="0"/>
        <w:spacing w:before="156" w:beforeLines="50" w:after="156" w:afterLines="50" w:line="360" w:lineRule="auto"/>
        <w:jc w:val="left"/>
        <w:textAlignment w:val="baseline"/>
        <w:rPr>
          <w:rFonts w:hint="eastAsia" w:ascii="宋体" w:hAnsi="宋体" w:cs="宋体"/>
          <w:b w:val="0"/>
          <w:bCs w:val="0"/>
          <w:kern w:val="44"/>
          <w:sz w:val="24"/>
        </w:rPr>
      </w:pPr>
      <w:bookmarkStart w:id="8" w:name="_Toc26962"/>
      <w:bookmarkStart w:id="9" w:name="_Toc2199"/>
      <w:r>
        <w:rPr>
          <w:rFonts w:hint="eastAsia" w:ascii="宋体" w:hAnsi="宋体" w:cs="宋体"/>
          <w:b w:val="0"/>
          <w:bCs w:val="0"/>
          <w:kern w:val="44"/>
          <w:sz w:val="24"/>
        </w:rPr>
        <w:t>执行标准</w:t>
      </w:r>
      <w:bookmarkEnd w:id="8"/>
      <w:bookmarkEnd w:id="9"/>
    </w:p>
    <w:p>
      <w:pPr>
        <w:pStyle w:val="79"/>
        <w:ind w:firstLine="480" w:firstLineChars="200"/>
        <w:rPr>
          <w:rFonts w:hint="eastAsia" w:ascii="宋体" w:hAnsi="宋体" w:cs="宋体"/>
          <w:kern w:val="21"/>
          <w:sz w:val="24"/>
          <w:lang w:eastAsia="zh-CN"/>
        </w:rPr>
      </w:pPr>
      <w:r>
        <w:rPr>
          <w:rFonts w:hint="eastAsia" w:ascii="宋体" w:hAnsi="宋体" w:cs="宋体"/>
          <w:kern w:val="21"/>
          <w:sz w:val="24"/>
          <w:lang w:eastAsia="zh-CN"/>
        </w:rPr>
        <w:t>GB／T 3906            《3.6kV～40.5kV 交流金属封闭开关设备和控制设备》</w:t>
      </w:r>
    </w:p>
    <w:p>
      <w:pPr>
        <w:pStyle w:val="79"/>
        <w:ind w:firstLine="480" w:firstLineChars="200"/>
        <w:rPr>
          <w:rFonts w:hint="eastAsia" w:ascii="宋体" w:hAnsi="宋体" w:cs="宋体"/>
          <w:kern w:val="21"/>
          <w:sz w:val="24"/>
          <w:lang w:eastAsia="zh-CN"/>
        </w:rPr>
      </w:pPr>
      <w:r>
        <w:rPr>
          <w:rFonts w:hint="eastAsia" w:ascii="宋体" w:hAnsi="宋体" w:cs="宋体"/>
          <w:kern w:val="21"/>
          <w:sz w:val="24"/>
          <w:lang w:eastAsia="zh-CN"/>
        </w:rPr>
        <w:t>GB／T 11022           《高压开关设备和控制设备标准的共用技术要求》</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GB／T 16927           《高电压试验技术》</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GB／T 7354            《高电压试验技术 局部放电测量》</w:t>
      </w:r>
    </w:p>
    <w:p>
      <w:pPr>
        <w:spacing w:line="360" w:lineRule="auto"/>
        <w:ind w:firstLine="480" w:firstLineChars="200"/>
        <w:rPr>
          <w:rFonts w:hint="eastAsia" w:ascii="宋体" w:hAnsi="宋体" w:cs="宋体"/>
          <w:kern w:val="21"/>
          <w:sz w:val="24"/>
        </w:rPr>
      </w:pPr>
      <w:r>
        <w:rPr>
          <w:rFonts w:hint="eastAsia" w:ascii="宋体" w:hAnsi="宋体" w:cs="宋体"/>
          <w:kern w:val="21"/>
          <w:sz w:val="24"/>
        </w:rPr>
        <w:t xml:space="preserve">GB／T </w:t>
      </w:r>
      <w:r>
        <w:rPr>
          <w:rFonts w:hint="eastAsia" w:ascii="宋体" w:hAnsi="宋体"/>
          <w:sz w:val="24"/>
        </w:rPr>
        <w:t xml:space="preserve">4208            </w:t>
      </w:r>
      <w:r>
        <w:rPr>
          <w:rFonts w:hint="eastAsia" w:ascii="宋体" w:hAnsi="宋体" w:cs="宋体"/>
          <w:kern w:val="21"/>
          <w:sz w:val="24"/>
        </w:rPr>
        <w:t>《</w:t>
      </w:r>
      <w:r>
        <w:rPr>
          <w:rFonts w:hint="eastAsia" w:ascii="宋体" w:hAnsi="宋体"/>
          <w:sz w:val="24"/>
        </w:rPr>
        <w:t>外壳防护等级(IP代码)</w:t>
      </w:r>
      <w:r>
        <w:rPr>
          <w:rFonts w:hint="eastAsia" w:ascii="宋体" w:hAnsi="宋体" w:cs="宋体"/>
          <w:kern w:val="21"/>
          <w:sz w:val="24"/>
        </w:rPr>
        <w:t>》</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GB 1984               《交流高压断路器》</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GB 20840.3            《电磁式电压互感器的补充技术要求》</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GB 311.1              《高压输变电设备的绝缘配合》</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GB 1985               《高压交流隔离开关和接地开关》</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GB 1208               《电流互感器》</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GB 11032              《交流无间隙金属氧化物避雷器》</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DL/T 478              《继电保护和安全自动装置通用技术条件》</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DL/T 527              《继电保护及控制装置电源模块（模件）技术条件》</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DL/T 587              《继电保护和安全自动装置运行管理规程》</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DL/T 593              《高压开关设备和控制设备标准的共用技术要求》</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DL/T 615              《高压交流断路器参数选用导则》</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DL/T 670              《母线保护装置通用技术条件》</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DL/T 5136             《火力发电厂、变电所二次接线设计技术规程》</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JB/T 8952             《交流系统用复合外套无间隙金属氧化物避雷器》</w:t>
      </w:r>
    </w:p>
    <w:p>
      <w:pPr>
        <w:pStyle w:val="79"/>
        <w:ind w:left="2707" w:leftChars="228" w:hanging="2160" w:hangingChars="900"/>
        <w:rPr>
          <w:rFonts w:hint="eastAsia" w:ascii="宋体" w:hAnsi="宋体" w:cs="宋体"/>
          <w:kern w:val="21"/>
          <w:sz w:val="24"/>
          <w:lang w:eastAsia="zh-CN"/>
        </w:rPr>
      </w:pPr>
      <w:r>
        <w:rPr>
          <w:rFonts w:hint="eastAsia" w:ascii="宋体" w:hAnsi="宋体" w:cs="宋体"/>
          <w:kern w:val="21"/>
          <w:sz w:val="24"/>
          <w:lang w:eastAsia="zh-CN"/>
        </w:rPr>
        <w:t>JB/T 10496            《交流三相组合式无间隙金属氧化物避雷器》</w:t>
      </w:r>
    </w:p>
    <w:p>
      <w:pPr>
        <w:pStyle w:val="2"/>
        <w:keepLines/>
        <w:numPr>
          <w:ilvl w:val="0"/>
          <w:numId w:val="2"/>
        </w:numPr>
        <w:adjustRightInd w:val="0"/>
        <w:snapToGrid w:val="0"/>
        <w:spacing w:before="156" w:beforeLines="50" w:after="156" w:afterLines="50" w:line="360" w:lineRule="auto"/>
        <w:jc w:val="left"/>
        <w:textAlignment w:val="baseline"/>
        <w:rPr>
          <w:rFonts w:hint="eastAsia" w:ascii="宋体" w:hAnsi="宋体" w:cs="宋体"/>
          <w:b w:val="0"/>
          <w:bCs w:val="0"/>
          <w:kern w:val="44"/>
          <w:sz w:val="24"/>
        </w:rPr>
      </w:pPr>
      <w:bookmarkStart w:id="10" w:name="_Toc7590"/>
      <w:r>
        <w:rPr>
          <w:rFonts w:hint="eastAsia" w:ascii="宋体" w:hAnsi="宋体" w:cs="宋体"/>
          <w:b w:val="0"/>
          <w:bCs w:val="0"/>
          <w:kern w:val="44"/>
          <w:sz w:val="24"/>
        </w:rPr>
        <w:t>技术参数</w:t>
      </w:r>
      <w:bookmarkEnd w:id="10"/>
    </w:p>
    <w:p>
      <w:pPr>
        <w:tabs>
          <w:tab w:val="left" w:pos="525"/>
          <w:tab w:val="left" w:pos="987"/>
        </w:tabs>
        <w:spacing w:line="360" w:lineRule="auto"/>
        <w:ind w:firstLine="480" w:firstLineChars="200"/>
        <w:jc w:val="left"/>
        <w:rPr>
          <w:rFonts w:hint="eastAsia" w:ascii="宋体" w:hAnsi="宋体" w:cs="宋体"/>
          <w:kern w:val="21"/>
          <w:sz w:val="24"/>
        </w:rPr>
      </w:pPr>
      <w:r>
        <w:rPr>
          <w:rFonts w:hint="eastAsia" w:ascii="宋体" w:hAnsi="宋体" w:cs="宋体"/>
          <w:kern w:val="21"/>
          <w:sz w:val="24"/>
        </w:rPr>
        <w:t>4.1型式：</w:t>
      </w:r>
    </w:p>
    <w:p>
      <w:pPr>
        <w:numPr>
          <w:ilvl w:val="0"/>
          <w:numId w:val="4"/>
        </w:numPr>
        <w:tabs>
          <w:tab w:val="left" w:pos="525"/>
          <w:tab w:val="left" w:pos="987"/>
        </w:tabs>
        <w:spacing w:line="360" w:lineRule="auto"/>
        <w:ind w:firstLine="480" w:firstLineChars="200"/>
        <w:jc w:val="left"/>
        <w:rPr>
          <w:rFonts w:hint="eastAsia" w:ascii="宋体" w:hAnsi="宋体" w:cs="宋体"/>
          <w:kern w:val="21"/>
          <w:sz w:val="24"/>
        </w:rPr>
      </w:pPr>
      <w:r>
        <w:rPr>
          <w:rFonts w:hint="eastAsia" w:ascii="宋体" w:hAnsi="宋体" w:cs="宋体"/>
          <w:kern w:val="21"/>
          <w:sz w:val="24"/>
        </w:rPr>
        <w:t xml:space="preserve">金属铠装封闭型移开式高压开关柜（KYN61-40.5）    </w:t>
      </w:r>
    </w:p>
    <w:p>
      <w:pPr>
        <w:numPr>
          <w:ilvl w:val="0"/>
          <w:numId w:val="4"/>
        </w:numPr>
        <w:tabs>
          <w:tab w:val="left" w:pos="525"/>
          <w:tab w:val="left" w:pos="987"/>
        </w:tabs>
        <w:spacing w:line="360" w:lineRule="auto"/>
        <w:ind w:firstLine="468" w:firstLineChars="200"/>
        <w:jc w:val="left"/>
        <w:rPr>
          <w:rFonts w:hint="eastAsia" w:ascii="宋体" w:hAnsi="宋体" w:cs="宋体"/>
          <w:kern w:val="21"/>
          <w:sz w:val="24"/>
        </w:rPr>
      </w:pPr>
      <w:r>
        <w:rPr>
          <w:rFonts w:hint="eastAsia" w:ascii="Arial" w:cs="Arial"/>
          <w:spacing w:val="-3"/>
          <w:kern w:val="0"/>
          <w:sz w:val="24"/>
          <w:szCs w:val="22"/>
        </w:rPr>
        <w:t>固封式真空断路器，弹簧操作机构</w:t>
      </w:r>
      <w:r>
        <w:rPr>
          <w:rFonts w:hint="eastAsia" w:ascii="宋体" w:hAnsi="宋体" w:cs="宋体"/>
          <w:kern w:val="21"/>
          <w:sz w:val="24"/>
        </w:rPr>
        <w:t xml:space="preserve">        </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4.2额定电压：40.5kV</w:t>
      </w:r>
    </w:p>
    <w:p>
      <w:pPr>
        <w:pStyle w:val="80"/>
        <w:spacing w:line="360" w:lineRule="auto"/>
        <w:ind w:firstLine="480"/>
        <w:jc w:val="left"/>
        <w:rPr>
          <w:rFonts w:cs="宋体"/>
          <w:bCs w:val="0"/>
          <w:kern w:val="21"/>
          <w:sz w:val="24"/>
          <w:szCs w:val="24"/>
        </w:rPr>
      </w:pPr>
      <w:r>
        <w:rPr>
          <w:rFonts w:hint="eastAsia" w:cs="宋体"/>
          <w:bCs w:val="0"/>
          <w:kern w:val="21"/>
          <w:sz w:val="24"/>
          <w:szCs w:val="24"/>
        </w:rPr>
        <w:t>4.3额定频率：50Hz</w:t>
      </w:r>
    </w:p>
    <w:p>
      <w:pPr>
        <w:pStyle w:val="80"/>
        <w:spacing w:line="360" w:lineRule="auto"/>
        <w:ind w:firstLine="480"/>
        <w:jc w:val="left"/>
        <w:rPr>
          <w:rFonts w:cs="宋体"/>
          <w:bCs w:val="0"/>
          <w:kern w:val="21"/>
          <w:sz w:val="24"/>
          <w:szCs w:val="24"/>
        </w:rPr>
      </w:pPr>
      <w:r>
        <w:rPr>
          <w:rFonts w:hint="eastAsia" w:cs="宋体"/>
          <w:bCs w:val="0"/>
          <w:kern w:val="21"/>
          <w:sz w:val="24"/>
          <w:szCs w:val="24"/>
        </w:rPr>
        <w:t>4.4</w:t>
      </w:r>
      <w:r>
        <w:rPr>
          <w:rFonts w:hint="eastAsia" w:ascii="Arial" w:hAnsi="Arial" w:cs="Arial"/>
          <w:bCs w:val="0"/>
          <w:sz w:val="24"/>
        </w:rPr>
        <w:t>开关柜主母线额定电流（铜母线）</w:t>
      </w:r>
      <w:r>
        <w:rPr>
          <w:rFonts w:hint="eastAsia" w:cs="宋体"/>
          <w:bCs w:val="0"/>
          <w:kern w:val="21"/>
          <w:sz w:val="24"/>
          <w:szCs w:val="24"/>
        </w:rPr>
        <w:t>：1250A</w:t>
      </w:r>
    </w:p>
    <w:p>
      <w:pPr>
        <w:pStyle w:val="80"/>
        <w:spacing w:line="360" w:lineRule="auto"/>
        <w:ind w:firstLine="480"/>
        <w:jc w:val="left"/>
        <w:rPr>
          <w:rFonts w:cs="宋体"/>
          <w:bCs w:val="0"/>
          <w:kern w:val="21"/>
          <w:sz w:val="24"/>
          <w:szCs w:val="24"/>
        </w:rPr>
      </w:pPr>
      <w:r>
        <w:rPr>
          <w:rFonts w:hint="eastAsia" w:cs="宋体"/>
          <w:bCs w:val="0"/>
          <w:kern w:val="21"/>
          <w:sz w:val="24"/>
          <w:szCs w:val="24"/>
        </w:rPr>
        <w:t>4.5</w:t>
      </w:r>
      <w:r>
        <w:rPr>
          <w:rFonts w:hint="eastAsia" w:ascii="Arial" w:hAnsi="Arial" w:cs="Arial"/>
          <w:bCs w:val="0"/>
          <w:sz w:val="24"/>
        </w:rPr>
        <w:t>分支母线额定电流（铜母线）</w:t>
      </w:r>
      <w:r>
        <w:rPr>
          <w:rFonts w:hint="eastAsia" w:cs="宋体"/>
          <w:bCs w:val="0"/>
          <w:kern w:val="21"/>
          <w:sz w:val="24"/>
          <w:szCs w:val="24"/>
        </w:rPr>
        <w:t>：1250A</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4.6额定绝缘水平:</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雷电冲击耐压： （峰值）对地、相间、断路器断口（动触头）：185kV；</w:t>
      </w:r>
    </w:p>
    <w:p>
      <w:pPr>
        <w:pStyle w:val="80"/>
        <w:spacing w:line="360" w:lineRule="auto"/>
        <w:ind w:firstLine="2400" w:firstLineChars="1000"/>
        <w:jc w:val="left"/>
        <w:rPr>
          <w:rFonts w:hint="eastAsia" w:cs="宋体"/>
          <w:bCs w:val="0"/>
          <w:kern w:val="21"/>
          <w:sz w:val="24"/>
          <w:szCs w:val="24"/>
        </w:rPr>
      </w:pPr>
      <w:r>
        <w:rPr>
          <w:rFonts w:hint="eastAsia" w:cs="宋体"/>
          <w:bCs w:val="0"/>
          <w:kern w:val="21"/>
          <w:sz w:val="24"/>
          <w:szCs w:val="24"/>
        </w:rPr>
        <w:t>隔离断口（静触头）：215kV；</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工频耐压(1min)：对地、相间（动触头）：95kV；</w:t>
      </w:r>
    </w:p>
    <w:p>
      <w:pPr>
        <w:pStyle w:val="80"/>
        <w:spacing w:line="360" w:lineRule="auto"/>
        <w:ind w:firstLine="2400" w:firstLineChars="1000"/>
        <w:jc w:val="left"/>
        <w:rPr>
          <w:rFonts w:hint="eastAsia" w:cs="宋体"/>
          <w:bCs w:val="0"/>
          <w:kern w:val="21"/>
          <w:sz w:val="24"/>
          <w:szCs w:val="24"/>
        </w:rPr>
      </w:pPr>
      <w:r>
        <w:rPr>
          <w:rFonts w:hint="eastAsia" w:cs="宋体"/>
          <w:bCs w:val="0"/>
          <w:kern w:val="21"/>
          <w:sz w:val="24"/>
          <w:szCs w:val="24"/>
        </w:rPr>
        <w:t>隔离断口（静触头）：115kV</w:t>
      </w:r>
    </w:p>
    <w:p>
      <w:pPr>
        <w:pStyle w:val="80"/>
        <w:spacing w:line="360" w:lineRule="auto"/>
        <w:ind w:firstLine="480"/>
        <w:jc w:val="left"/>
        <w:rPr>
          <w:rFonts w:cs="宋体"/>
          <w:bCs w:val="0"/>
          <w:kern w:val="21"/>
          <w:sz w:val="24"/>
          <w:szCs w:val="24"/>
        </w:rPr>
      </w:pPr>
      <w:r>
        <w:rPr>
          <w:rFonts w:hint="eastAsia" w:cs="宋体"/>
          <w:bCs w:val="0"/>
          <w:kern w:val="21"/>
          <w:sz w:val="24"/>
          <w:szCs w:val="24"/>
        </w:rPr>
        <w:t>辅助回路和控制回路1min工频耐受电压2000V</w:t>
      </w:r>
    </w:p>
    <w:p>
      <w:pPr>
        <w:pStyle w:val="80"/>
        <w:spacing w:line="360" w:lineRule="auto"/>
        <w:ind w:firstLine="480"/>
        <w:jc w:val="left"/>
        <w:rPr>
          <w:rFonts w:cs="宋体"/>
          <w:bCs w:val="0"/>
          <w:kern w:val="21"/>
          <w:sz w:val="24"/>
          <w:szCs w:val="24"/>
        </w:rPr>
      </w:pPr>
      <w:r>
        <w:rPr>
          <w:rFonts w:hint="eastAsia" w:cs="宋体"/>
          <w:bCs w:val="0"/>
          <w:kern w:val="21"/>
          <w:sz w:val="24"/>
          <w:szCs w:val="24"/>
        </w:rPr>
        <w:t>4.7 额定短时耐受电流（4s）:</w:t>
      </w:r>
      <w:r>
        <w:rPr>
          <w:rFonts w:cs="宋体"/>
          <w:bCs w:val="0"/>
          <w:kern w:val="21"/>
          <w:sz w:val="24"/>
          <w:szCs w:val="24"/>
        </w:rPr>
        <w:t>20</w:t>
      </w:r>
      <w:r>
        <w:rPr>
          <w:rFonts w:hint="eastAsia" w:cs="宋体"/>
          <w:bCs w:val="0"/>
          <w:kern w:val="21"/>
          <w:sz w:val="24"/>
          <w:szCs w:val="24"/>
        </w:rPr>
        <w:t>kA</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4.8 额定短路开断电流:</w:t>
      </w:r>
      <w:r>
        <w:rPr>
          <w:rFonts w:cs="宋体"/>
          <w:bCs w:val="0"/>
          <w:kern w:val="21"/>
          <w:sz w:val="24"/>
          <w:szCs w:val="24"/>
        </w:rPr>
        <w:t>20</w:t>
      </w:r>
      <w:r>
        <w:rPr>
          <w:rFonts w:hint="eastAsia" w:cs="宋体"/>
          <w:bCs w:val="0"/>
          <w:kern w:val="21"/>
          <w:sz w:val="24"/>
          <w:szCs w:val="24"/>
        </w:rPr>
        <w:t>kA</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4.9 额定峰值耐受电流:</w:t>
      </w:r>
      <w:r>
        <w:rPr>
          <w:rFonts w:cs="宋体"/>
          <w:bCs w:val="0"/>
          <w:kern w:val="21"/>
          <w:sz w:val="24"/>
          <w:szCs w:val="24"/>
        </w:rPr>
        <w:t>50</w:t>
      </w:r>
      <w:r>
        <w:rPr>
          <w:rFonts w:hint="eastAsia" w:cs="宋体"/>
          <w:bCs w:val="0"/>
          <w:kern w:val="21"/>
          <w:sz w:val="24"/>
          <w:szCs w:val="24"/>
        </w:rPr>
        <w:t>kA</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4.10额定峰值短路关合电流:</w:t>
      </w:r>
      <w:r>
        <w:rPr>
          <w:rFonts w:cs="宋体"/>
          <w:bCs w:val="0"/>
          <w:kern w:val="21"/>
          <w:sz w:val="24"/>
          <w:szCs w:val="24"/>
        </w:rPr>
        <w:t>50</w:t>
      </w:r>
      <w:r>
        <w:rPr>
          <w:rFonts w:hint="eastAsia" w:cs="宋体"/>
          <w:bCs w:val="0"/>
          <w:kern w:val="21"/>
          <w:sz w:val="24"/>
          <w:szCs w:val="24"/>
        </w:rPr>
        <w:t>kA</w:t>
      </w:r>
    </w:p>
    <w:p>
      <w:pPr>
        <w:pStyle w:val="2"/>
        <w:keepLines/>
        <w:numPr>
          <w:ilvl w:val="0"/>
          <w:numId w:val="2"/>
        </w:numPr>
        <w:adjustRightInd w:val="0"/>
        <w:snapToGrid w:val="0"/>
        <w:spacing w:before="156" w:beforeLines="50" w:after="156" w:afterLines="50" w:line="360" w:lineRule="auto"/>
        <w:jc w:val="left"/>
        <w:textAlignment w:val="baseline"/>
        <w:rPr>
          <w:rFonts w:hint="eastAsia" w:ascii="宋体" w:hAnsi="宋体" w:cs="宋体"/>
          <w:b w:val="0"/>
          <w:bCs w:val="0"/>
          <w:kern w:val="44"/>
          <w:sz w:val="24"/>
        </w:rPr>
      </w:pPr>
      <w:bookmarkStart w:id="11" w:name="_Toc20471"/>
      <w:r>
        <w:rPr>
          <w:rFonts w:hint="eastAsia" w:ascii="宋体" w:hAnsi="宋体" w:cs="宋体"/>
          <w:b w:val="0"/>
          <w:bCs w:val="0"/>
          <w:kern w:val="44"/>
          <w:sz w:val="24"/>
        </w:rPr>
        <w:t>技术规范及要求</w:t>
      </w:r>
      <w:bookmarkEnd w:id="11"/>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5.1基本规范</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 开关柜的结构应保证工作人员的安全，且便于运行、维护、检查、监视、检修和试验，开关柜内电缆采用后面接线方式，铜排上电缆接线孔对地距离不小于720mm，采用双面维护。</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5.1.2 各组件及其支持绝缘件的外绝缘爬电距离：810mm(合成绝缘)。</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5.1.3 开关柜分为4个相对独立间隔，即母线室、断路器室、电缆室、继电器仪表室，开关柜隔板、前后门和门锁采用的金属板应有足够的机械强度，即正常操作时不应变形。</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5.1.4 在断路器手车室、母线室和电缆室的上方要求设有泄压装置，当断路器或母线发生内部故障电弧时，伴随电弧的出现，开关设备内部气压升高，装设在门上的特殊密封条把柜前面封闭起来，顶部装备的泄压金属板将被自动打开释放压力和排泄气体，以确保操作人员和开关柜的安全。</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5.1.5 开关柜前后各有1个有足够强度的钢化玻璃窥视孔，以观测断路器状态和电缆室是否发热。</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5.1.6 钢化玻璃观察窗位置应使观察者便于观察必须监视的组件及关键部位的任意工作位置，观察窗须达到外壳所规定的防护等级。</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5.1.7 开关柜应有足够的强度，在现场的正常的安装过程中不能有变形，走样的现象发生。各柜门在正常的操作过程不应有变形，各柜门不能出现因自身原因下坠的现象。</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5.1.8 开关柜中的各开关进出应轻巧灵活，不应有卡涩现象，触头的闭锁门应可靠动作。</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5.1.9 开关柜中所有的设备的铭牌应向柜外张贴，以方便观察。</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5.1.10 过电压保护器布局合理，正常工作引线不引起和电缆线放电现象。</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5.1.11 开关柜导体间净距柜内导体间及导体对地的净距，应满足电力工业行业标准的要求。</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5.1.12 防护等级：开关柜外壳防护等级不小于IP4X，断路器外壳防护等级不小于IP2X。</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5.1.13 成套柜主母排及分支母排选用优质无氧铜，具体铜排规格按图纸设计，必须相序标识，采用硫化涂覆工艺处理，铜排搭接处必须压花、镀银处理并加装绝缘盒，不得有裸露母排；成套柜厂配齐所有连接螺栓（含并柜、电缆螺栓）。</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5.1.14 防误功能：所有开关柜必须满足“五防”要求，装设简单、可靠的机械“五防”结构，同时加装电气闭锁。所有开关柜前面带电显示可以与智能操控装置集成，柜后安装高压带电显示装置，应装有能反映线路侧有无电压的带电显示及闭锁装置。防误功能具体要求如下：</w:t>
      </w:r>
    </w:p>
    <w:p>
      <w:pPr>
        <w:pStyle w:val="80"/>
        <w:numPr>
          <w:ilvl w:val="0"/>
          <w:numId w:val="5"/>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断路器手车在试验/工作位置时，断路器才能合分闸，合闸后手车无法移动。</w:t>
      </w:r>
    </w:p>
    <w:p>
      <w:pPr>
        <w:pStyle w:val="80"/>
        <w:numPr>
          <w:ilvl w:val="0"/>
          <w:numId w:val="5"/>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仅当断路器手车在试验/检修位置时，接地刀闸才能进行合分闸操作。</w:t>
      </w:r>
    </w:p>
    <w:p>
      <w:pPr>
        <w:pStyle w:val="80"/>
        <w:numPr>
          <w:ilvl w:val="0"/>
          <w:numId w:val="5"/>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仅当接地刀闸在分闸位置，断路器手车才能从试验/检修位置推至工作位置。</w:t>
      </w:r>
    </w:p>
    <w:p>
      <w:pPr>
        <w:pStyle w:val="80"/>
        <w:numPr>
          <w:ilvl w:val="0"/>
          <w:numId w:val="5"/>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接地刀闸在合闸位置时前下门及后下门才能打开，后下门打开后才能打开后上门。</w:t>
      </w:r>
    </w:p>
    <w:p>
      <w:pPr>
        <w:pStyle w:val="80"/>
        <w:numPr>
          <w:ilvl w:val="0"/>
          <w:numId w:val="5"/>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断路器手车在工作位置时，二次插头被锁定不能拔下。</w:t>
      </w:r>
    </w:p>
    <w:p>
      <w:pPr>
        <w:pStyle w:val="80"/>
        <w:numPr>
          <w:ilvl w:val="0"/>
          <w:numId w:val="5"/>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高压带电显示器闭锁接地开关，防止带电合接地开关。</w:t>
      </w:r>
    </w:p>
    <w:p>
      <w:pPr>
        <w:pStyle w:val="80"/>
        <w:numPr>
          <w:ilvl w:val="0"/>
          <w:numId w:val="5"/>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进线柜、母联柜及隔离柜等后柜门要求带电磁锁，该柜子带电时严禁打开后柜门。进线电源开关上口带电时后柜门不能打开，分配进线柜设有带电闭锁装置。</w:t>
      </w:r>
    </w:p>
    <w:p>
      <w:pPr>
        <w:pStyle w:val="80"/>
        <w:numPr>
          <w:ilvl w:val="0"/>
          <w:numId w:val="5"/>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柜式电压互感器装有设备带电后禁止进行摇进摇出的闭锁，电压互感器刀闸操作手柄处装有电磁锁，后柜门设有带电电磁锁。</w:t>
      </w:r>
    </w:p>
    <w:p>
      <w:pPr>
        <w:pStyle w:val="80"/>
        <w:numPr>
          <w:ilvl w:val="0"/>
          <w:numId w:val="5"/>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断路器手车在试验/工作位置时，地刀压板不能按下地刀行程的三分之一。</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5.1.15 所有开关柜开关室及电缆室应装有防止凝露的加热器，加热器装有根据天气情况自动投切的控制器，并且加热器的长期运行不应影响其它设备的安全运行。此设备的保质期为三年，在三年内出现任何问题供方都应无偿进行更换。</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5.1.16 开关柜的前后门可用一定强度的优质冷轧钢板镀锌钢板（δ≥2.0㎜）外，壳体框架应用可靠强度的优质敷铝锌板（δ≥ 2.0㎜）；</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5.1.17 开关柜在正常操作和维护时不需要打开的盖板和门，若不使用工具，应不能打开、拆下或移动；在正常操作和维护时需要打开的盖板和门，应不需要工具即可打开或移动，并应有可靠的联锁装置来保证操作者的安全。</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5.1.18 开关柜表面处理采用静电喷塑，颜色RAL7035。</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5.1.19 沿开关柜排列方向的接地导体应采用铜母线。全部需要接地的设备都应优先通过铜排与此接地导体连接。 应至少有两个接地端子与系统接地网连接（连接面应进行搪锡处理），接地端子采用M12螺栓。</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5.1.20 当开关柜采用电缆进出线时，电缆室应提供足够的空间，进出线电缆不能承受机械和弯曲应力，保证主接线端子与电源引下铜排有足够的接触面。并留有电缆头及零序CT安装及固定的位置，同时参照图纸进线数量选择合适的零序CT直径。</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5.1.21开关柜应采取有效防止内电弧措施，发生内部故障，应能限制电弧的燃烧时间和燃烧范围，使其仅在故障间隔而不能扩展到其它间隔。</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5.1.22接地刀闸在开关柜前操作。</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5.1.23所有开关柜应装有检修用照明设备，前柜、后柜各一套。</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5.1.24智能综合监测装置</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包含一次模拟图显示，带电显示器，自动加热及温度湿度控制器，就地远方转换开关，柜内照明控制开关，手动储能开关，断路器分合闸开关，断路器分合闸状态指示，接地开关指示，储能指示，不少于6个开关量输入接口和1个带电闭锁输出接口，语音防误提示及相关通信接口等功能。加热器可在柜外由开关控制其投入或切除。</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其功能包括：温湿度控制、电缆室照明灯控制、远方/就地转换、断路器分/合闸控制、断路器分/合闸位置显示、接地开关分/合闸位置显示、带电显示和闭锁、手车工作、试验、移出位置显示、弹簧储能显示、带电闭锁输出、语音防误提示、能通过RS-485端口将数据上传至综合保护系统实现实时遥信及遥测功能</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5.1.25同型产品内额定值和结构相同的组件应能互换。</w:t>
      </w:r>
    </w:p>
    <w:p>
      <w:pPr>
        <w:pStyle w:val="80"/>
        <w:spacing w:line="360" w:lineRule="auto"/>
        <w:ind w:firstLine="480"/>
        <w:jc w:val="left"/>
        <w:rPr>
          <w:rFonts w:cs="宋体"/>
          <w:bCs w:val="0"/>
          <w:kern w:val="21"/>
          <w:sz w:val="24"/>
          <w:szCs w:val="24"/>
        </w:rPr>
      </w:pPr>
      <w:r>
        <w:rPr>
          <w:rFonts w:hint="eastAsia" w:cs="宋体"/>
          <w:bCs w:val="0"/>
          <w:kern w:val="21"/>
          <w:sz w:val="24"/>
          <w:szCs w:val="24"/>
        </w:rPr>
        <w:t>5.2 主要组件详细技术规范（以下数据只供参考，具体参数见系统图）</w:t>
      </w:r>
    </w:p>
    <w:p>
      <w:pPr>
        <w:pStyle w:val="80"/>
        <w:spacing w:line="360" w:lineRule="auto"/>
        <w:ind w:firstLine="480"/>
        <w:jc w:val="left"/>
        <w:rPr>
          <w:rFonts w:cs="宋体"/>
          <w:bCs w:val="0"/>
          <w:kern w:val="21"/>
          <w:sz w:val="24"/>
          <w:szCs w:val="24"/>
        </w:rPr>
      </w:pPr>
      <w:r>
        <w:rPr>
          <w:rFonts w:hint="eastAsia" w:cs="宋体"/>
          <w:bCs w:val="0"/>
          <w:kern w:val="21"/>
          <w:sz w:val="24"/>
          <w:szCs w:val="24"/>
        </w:rPr>
        <w:t>5.2.1 断路器</w:t>
      </w:r>
    </w:p>
    <w:p>
      <w:pPr>
        <w:pStyle w:val="80"/>
        <w:spacing w:line="360" w:lineRule="auto"/>
        <w:ind w:firstLine="480"/>
        <w:jc w:val="left"/>
        <w:rPr>
          <w:rFonts w:cs="宋体"/>
          <w:bCs w:val="0"/>
          <w:kern w:val="21"/>
          <w:sz w:val="24"/>
          <w:szCs w:val="24"/>
        </w:rPr>
      </w:pPr>
      <w:r>
        <w:rPr>
          <w:rFonts w:hint="eastAsia" w:cs="宋体"/>
          <w:bCs w:val="0"/>
          <w:kern w:val="21"/>
          <w:sz w:val="24"/>
          <w:szCs w:val="24"/>
        </w:rPr>
        <w:t>5.2.1.1 型式：</w:t>
      </w:r>
      <w:r>
        <w:rPr>
          <w:rFonts w:hint="eastAsia" w:ascii="Arial" w:cs="Arial"/>
          <w:spacing w:val="-3"/>
          <w:kern w:val="0"/>
          <w:sz w:val="24"/>
          <w:szCs w:val="22"/>
        </w:rPr>
        <w:t>固封极柱式真空开关</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5.2.1.2 额定电压：40.5kV</w:t>
      </w:r>
    </w:p>
    <w:p>
      <w:pPr>
        <w:pStyle w:val="80"/>
        <w:spacing w:line="360" w:lineRule="auto"/>
        <w:ind w:firstLine="480"/>
        <w:jc w:val="left"/>
        <w:rPr>
          <w:rFonts w:cs="宋体"/>
          <w:bCs w:val="0"/>
          <w:kern w:val="21"/>
          <w:sz w:val="24"/>
          <w:szCs w:val="24"/>
        </w:rPr>
      </w:pPr>
      <w:r>
        <w:rPr>
          <w:rFonts w:hint="eastAsia" w:cs="宋体"/>
          <w:bCs w:val="0"/>
          <w:kern w:val="21"/>
          <w:sz w:val="24"/>
          <w:szCs w:val="24"/>
        </w:rPr>
        <w:t>5.2.1.3 额定频率：50Hz</w:t>
      </w:r>
    </w:p>
    <w:p>
      <w:pPr>
        <w:pStyle w:val="80"/>
        <w:spacing w:line="360" w:lineRule="auto"/>
        <w:ind w:firstLine="480"/>
        <w:jc w:val="left"/>
        <w:rPr>
          <w:rFonts w:cs="宋体"/>
          <w:bCs w:val="0"/>
          <w:kern w:val="21"/>
          <w:sz w:val="24"/>
          <w:szCs w:val="24"/>
        </w:rPr>
      </w:pPr>
      <w:r>
        <w:rPr>
          <w:rFonts w:hint="eastAsia" w:cs="宋体"/>
          <w:bCs w:val="0"/>
          <w:kern w:val="21"/>
          <w:sz w:val="24"/>
          <w:szCs w:val="24"/>
        </w:rPr>
        <w:t xml:space="preserve">5.2.1.4 </w:t>
      </w:r>
      <w:r>
        <w:rPr>
          <w:rFonts w:hint="eastAsia" w:ascii="Arial" w:hAnsi="Arial" w:cs="Arial"/>
          <w:bCs w:val="0"/>
          <w:sz w:val="24"/>
        </w:rPr>
        <w:t>额定电流</w:t>
      </w:r>
      <w:r>
        <w:rPr>
          <w:rFonts w:hint="eastAsia" w:cs="宋体"/>
          <w:bCs w:val="0"/>
          <w:kern w:val="21"/>
          <w:sz w:val="24"/>
          <w:szCs w:val="24"/>
        </w:rPr>
        <w:t>：1250A</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5.2.1.5 额定绝缘水平:</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额定1min工频耐受电压95kV；额定雷电冲击耐受电压：185kV</w:t>
      </w:r>
    </w:p>
    <w:p>
      <w:pPr>
        <w:pStyle w:val="80"/>
        <w:spacing w:line="360" w:lineRule="auto"/>
        <w:ind w:firstLine="480"/>
        <w:jc w:val="left"/>
        <w:rPr>
          <w:rFonts w:cs="宋体"/>
          <w:bCs w:val="0"/>
          <w:kern w:val="21"/>
          <w:sz w:val="24"/>
          <w:szCs w:val="24"/>
        </w:rPr>
      </w:pPr>
      <w:r>
        <w:rPr>
          <w:rFonts w:hint="eastAsia" w:cs="宋体"/>
          <w:bCs w:val="0"/>
          <w:kern w:val="21"/>
          <w:sz w:val="24"/>
          <w:szCs w:val="24"/>
        </w:rPr>
        <w:t>辅助回路和控制回路1min工频耐受电压2000V</w:t>
      </w:r>
    </w:p>
    <w:p>
      <w:pPr>
        <w:pStyle w:val="80"/>
        <w:spacing w:line="360" w:lineRule="auto"/>
        <w:ind w:firstLine="480"/>
        <w:jc w:val="left"/>
        <w:rPr>
          <w:rFonts w:cs="宋体"/>
          <w:bCs w:val="0"/>
          <w:kern w:val="21"/>
          <w:sz w:val="24"/>
          <w:szCs w:val="24"/>
        </w:rPr>
      </w:pPr>
      <w:r>
        <w:rPr>
          <w:rFonts w:hint="eastAsia" w:cs="宋体"/>
          <w:bCs w:val="0"/>
          <w:kern w:val="21"/>
          <w:sz w:val="24"/>
          <w:szCs w:val="24"/>
        </w:rPr>
        <w:t>5.2.1.6 额定短时耐受电流:</w:t>
      </w:r>
      <w:r>
        <w:rPr>
          <w:rFonts w:cs="宋体"/>
          <w:bCs w:val="0"/>
          <w:kern w:val="21"/>
          <w:sz w:val="24"/>
          <w:szCs w:val="24"/>
        </w:rPr>
        <w:t>20</w:t>
      </w:r>
      <w:r>
        <w:rPr>
          <w:rFonts w:hint="eastAsia" w:cs="宋体"/>
          <w:bCs w:val="0"/>
          <w:kern w:val="21"/>
          <w:sz w:val="24"/>
          <w:szCs w:val="24"/>
        </w:rPr>
        <w:t>kA</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5.2.1.7 额定短路开断电流:</w:t>
      </w:r>
      <w:r>
        <w:rPr>
          <w:rFonts w:cs="宋体"/>
          <w:bCs w:val="0"/>
          <w:kern w:val="21"/>
          <w:sz w:val="24"/>
          <w:szCs w:val="24"/>
        </w:rPr>
        <w:t>20kA</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5.2.1.8 额定峰值耐受电流:</w:t>
      </w:r>
      <w:r>
        <w:rPr>
          <w:rFonts w:cs="宋体"/>
          <w:bCs w:val="0"/>
          <w:kern w:val="21"/>
          <w:sz w:val="24"/>
          <w:szCs w:val="24"/>
        </w:rPr>
        <w:t>50kA</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5.2.1.9 额定峰值短路关合电流:</w:t>
      </w:r>
      <w:r>
        <w:rPr>
          <w:rFonts w:cs="宋体"/>
          <w:bCs w:val="0"/>
          <w:kern w:val="21"/>
          <w:sz w:val="24"/>
          <w:szCs w:val="24"/>
        </w:rPr>
        <w:t>50kA</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5.2.1.10额定短路持续时间:4s</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5.2.1.11时间参量:</w:t>
      </w:r>
    </w:p>
    <w:p>
      <w:pPr>
        <w:pStyle w:val="80"/>
        <w:numPr>
          <w:ilvl w:val="0"/>
          <w:numId w:val="6"/>
        </w:numPr>
        <w:spacing w:line="360" w:lineRule="auto"/>
        <w:ind w:firstLine="480"/>
        <w:jc w:val="left"/>
        <w:rPr>
          <w:rFonts w:hint="eastAsia" w:cs="宋体"/>
          <w:bCs w:val="0"/>
          <w:kern w:val="21"/>
          <w:sz w:val="24"/>
          <w:szCs w:val="24"/>
        </w:rPr>
      </w:pPr>
      <w:r>
        <w:rPr>
          <w:rFonts w:hint="eastAsia" w:cs="宋体"/>
          <w:bCs w:val="0"/>
          <w:kern w:val="21"/>
          <w:sz w:val="24"/>
          <w:szCs w:val="24"/>
        </w:rPr>
        <w:t>分闸时间： 20-50 ms</w:t>
      </w:r>
    </w:p>
    <w:p>
      <w:pPr>
        <w:pStyle w:val="80"/>
        <w:numPr>
          <w:ilvl w:val="0"/>
          <w:numId w:val="6"/>
        </w:numPr>
        <w:spacing w:line="360" w:lineRule="auto"/>
        <w:ind w:firstLine="480"/>
        <w:jc w:val="left"/>
        <w:rPr>
          <w:rFonts w:hint="eastAsia" w:cs="宋体"/>
          <w:bCs w:val="0"/>
          <w:kern w:val="21"/>
          <w:sz w:val="24"/>
          <w:szCs w:val="24"/>
        </w:rPr>
      </w:pPr>
      <w:r>
        <w:rPr>
          <w:rFonts w:hint="eastAsia" w:cs="宋体"/>
          <w:bCs w:val="0"/>
          <w:kern w:val="21"/>
          <w:sz w:val="24"/>
          <w:szCs w:val="24"/>
        </w:rPr>
        <w:t>合闸时间： 35-70 ms</w:t>
      </w:r>
    </w:p>
    <w:p>
      <w:pPr>
        <w:pStyle w:val="80"/>
        <w:numPr>
          <w:ilvl w:val="0"/>
          <w:numId w:val="6"/>
        </w:numPr>
        <w:spacing w:line="360" w:lineRule="auto"/>
        <w:ind w:firstLine="480"/>
        <w:jc w:val="left"/>
        <w:rPr>
          <w:rFonts w:hint="eastAsia" w:cs="宋体"/>
          <w:bCs w:val="0"/>
          <w:kern w:val="21"/>
          <w:sz w:val="24"/>
          <w:szCs w:val="24"/>
        </w:rPr>
      </w:pPr>
      <w:r>
        <w:rPr>
          <w:rFonts w:hint="eastAsia" w:cs="宋体"/>
          <w:bCs w:val="0"/>
          <w:kern w:val="21"/>
          <w:sz w:val="24"/>
          <w:szCs w:val="24"/>
        </w:rPr>
        <w:t xml:space="preserve">分、合闸不同期性：≤2ms      </w:t>
      </w:r>
    </w:p>
    <w:p>
      <w:pPr>
        <w:pStyle w:val="80"/>
        <w:numPr>
          <w:ilvl w:val="0"/>
          <w:numId w:val="6"/>
        </w:numPr>
        <w:spacing w:line="360" w:lineRule="auto"/>
        <w:ind w:firstLine="480"/>
        <w:jc w:val="left"/>
        <w:rPr>
          <w:rFonts w:hint="eastAsia" w:cs="宋体"/>
          <w:bCs w:val="0"/>
          <w:kern w:val="21"/>
          <w:sz w:val="24"/>
          <w:szCs w:val="24"/>
        </w:rPr>
      </w:pPr>
      <w:r>
        <w:rPr>
          <w:rFonts w:hint="eastAsia" w:cs="宋体"/>
          <w:bCs w:val="0"/>
          <w:kern w:val="21"/>
          <w:sz w:val="24"/>
          <w:szCs w:val="24"/>
        </w:rPr>
        <w:t>触头合闸弹跳时间：≤2ms</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5.2.1.12</w:t>
      </w:r>
      <w:r>
        <w:rPr>
          <w:rFonts w:hint="eastAsia" w:cs="宋体"/>
          <w:bCs w:val="0"/>
          <w:sz w:val="24"/>
          <w:szCs w:val="24"/>
        </w:rPr>
        <w:t>开断与关合工况</w:t>
      </w:r>
    </w:p>
    <w:p>
      <w:pPr>
        <w:pStyle w:val="80"/>
        <w:numPr>
          <w:ilvl w:val="0"/>
          <w:numId w:val="7"/>
        </w:numPr>
        <w:spacing w:line="360" w:lineRule="auto"/>
        <w:ind w:firstLine="480"/>
        <w:jc w:val="left"/>
        <w:rPr>
          <w:rFonts w:hint="eastAsia" w:cs="宋体"/>
          <w:bCs w:val="0"/>
          <w:kern w:val="21"/>
          <w:sz w:val="24"/>
          <w:szCs w:val="24"/>
        </w:rPr>
      </w:pPr>
      <w:r>
        <w:rPr>
          <w:rFonts w:hint="eastAsia" w:cs="宋体"/>
          <w:bCs w:val="0"/>
          <w:kern w:val="21"/>
          <w:sz w:val="24"/>
          <w:szCs w:val="24"/>
        </w:rPr>
        <w:t>额定操作顺序：0-0.3s-co-180s-co</w:t>
      </w:r>
    </w:p>
    <w:p>
      <w:pPr>
        <w:pStyle w:val="80"/>
        <w:numPr>
          <w:ilvl w:val="0"/>
          <w:numId w:val="7"/>
        </w:numPr>
        <w:spacing w:line="360" w:lineRule="auto"/>
        <w:ind w:firstLine="480"/>
        <w:jc w:val="left"/>
        <w:rPr>
          <w:rFonts w:hint="eastAsia" w:cs="宋体"/>
          <w:bCs w:val="0"/>
          <w:kern w:val="21"/>
          <w:sz w:val="24"/>
          <w:szCs w:val="24"/>
        </w:rPr>
      </w:pPr>
      <w:r>
        <w:rPr>
          <w:rFonts w:hint="eastAsia" w:cs="宋体"/>
          <w:bCs w:val="0"/>
          <w:kern w:val="21"/>
          <w:sz w:val="24"/>
          <w:szCs w:val="24"/>
        </w:rPr>
        <w:t>额定电流开断次数：20000次及以上</w:t>
      </w:r>
    </w:p>
    <w:p>
      <w:pPr>
        <w:pStyle w:val="80"/>
        <w:numPr>
          <w:ilvl w:val="0"/>
          <w:numId w:val="7"/>
        </w:numPr>
        <w:spacing w:line="360" w:lineRule="auto"/>
        <w:ind w:firstLine="480"/>
        <w:jc w:val="left"/>
        <w:rPr>
          <w:rFonts w:hint="eastAsia" w:cs="宋体"/>
          <w:bCs w:val="0"/>
          <w:kern w:val="21"/>
          <w:sz w:val="24"/>
          <w:szCs w:val="24"/>
        </w:rPr>
      </w:pPr>
      <w:r>
        <w:rPr>
          <w:rFonts w:hint="eastAsia" w:cs="宋体"/>
          <w:bCs w:val="0"/>
          <w:kern w:val="21"/>
          <w:sz w:val="24"/>
          <w:szCs w:val="24"/>
        </w:rPr>
        <w:t>满容量短路开断次数：50次及以上</w:t>
      </w:r>
    </w:p>
    <w:p>
      <w:pPr>
        <w:pStyle w:val="80"/>
        <w:numPr>
          <w:ilvl w:val="0"/>
          <w:numId w:val="7"/>
        </w:numPr>
        <w:spacing w:line="360" w:lineRule="auto"/>
        <w:ind w:firstLine="480"/>
        <w:jc w:val="left"/>
        <w:rPr>
          <w:rFonts w:hint="eastAsia" w:cs="宋体"/>
          <w:bCs w:val="0"/>
          <w:kern w:val="21"/>
          <w:sz w:val="24"/>
          <w:szCs w:val="24"/>
        </w:rPr>
      </w:pPr>
      <w:r>
        <w:rPr>
          <w:rFonts w:hint="eastAsia" w:cs="宋体"/>
          <w:bCs w:val="0"/>
          <w:kern w:val="21"/>
          <w:sz w:val="24"/>
          <w:szCs w:val="24"/>
        </w:rPr>
        <w:t xml:space="preserve">机械操作次数：≥20000 </w:t>
      </w:r>
    </w:p>
    <w:p>
      <w:pPr>
        <w:pStyle w:val="80"/>
        <w:numPr>
          <w:ilvl w:val="0"/>
          <w:numId w:val="7"/>
        </w:numPr>
        <w:spacing w:line="360" w:lineRule="auto"/>
        <w:ind w:firstLine="480"/>
        <w:jc w:val="left"/>
        <w:rPr>
          <w:rFonts w:hint="eastAsia" w:cs="宋体"/>
          <w:bCs w:val="0"/>
          <w:kern w:val="21"/>
          <w:sz w:val="24"/>
          <w:szCs w:val="24"/>
        </w:rPr>
      </w:pPr>
      <w:r>
        <w:rPr>
          <w:rFonts w:hint="eastAsia" w:cs="宋体"/>
          <w:bCs w:val="0"/>
          <w:kern w:val="21"/>
          <w:sz w:val="24"/>
          <w:szCs w:val="24"/>
        </w:rPr>
        <w:t>噪声：≤60dB(分合闸噪声)</w:t>
      </w:r>
    </w:p>
    <w:p>
      <w:pPr>
        <w:pStyle w:val="80"/>
        <w:spacing w:line="360" w:lineRule="auto"/>
        <w:ind w:firstLine="480"/>
        <w:jc w:val="left"/>
        <w:rPr>
          <w:rFonts w:cs="宋体"/>
          <w:bCs w:val="0"/>
          <w:kern w:val="21"/>
          <w:sz w:val="24"/>
          <w:szCs w:val="24"/>
        </w:rPr>
      </w:pPr>
      <w:r>
        <w:rPr>
          <w:rFonts w:hint="eastAsia" w:cs="宋体"/>
          <w:bCs w:val="0"/>
          <w:kern w:val="21"/>
          <w:sz w:val="24"/>
          <w:szCs w:val="24"/>
        </w:rPr>
        <w:t>5.2.1.13</w:t>
      </w:r>
      <w:r>
        <w:rPr>
          <w:rFonts w:hint="eastAsia" w:cs="宋体"/>
          <w:bCs w:val="0"/>
          <w:sz w:val="24"/>
          <w:szCs w:val="24"/>
        </w:rPr>
        <w:t>真空灭弧室</w:t>
      </w:r>
    </w:p>
    <w:p>
      <w:pPr>
        <w:pStyle w:val="80"/>
        <w:numPr>
          <w:ilvl w:val="0"/>
          <w:numId w:val="8"/>
        </w:numPr>
        <w:spacing w:line="360" w:lineRule="auto"/>
        <w:ind w:firstLine="480"/>
        <w:jc w:val="left"/>
        <w:rPr>
          <w:rFonts w:hint="eastAsia" w:cs="宋体"/>
          <w:bCs w:val="0"/>
          <w:kern w:val="21"/>
          <w:sz w:val="24"/>
          <w:szCs w:val="24"/>
        </w:rPr>
      </w:pPr>
      <w:r>
        <w:rPr>
          <w:rFonts w:hint="eastAsia" w:cs="宋体"/>
          <w:bCs w:val="0"/>
          <w:kern w:val="21"/>
          <w:sz w:val="24"/>
          <w:szCs w:val="24"/>
        </w:rPr>
        <w:t>允许储存期：20年</w:t>
      </w:r>
    </w:p>
    <w:p>
      <w:pPr>
        <w:pStyle w:val="80"/>
        <w:numPr>
          <w:ilvl w:val="0"/>
          <w:numId w:val="8"/>
        </w:numPr>
        <w:spacing w:line="360" w:lineRule="auto"/>
        <w:ind w:firstLine="480"/>
        <w:jc w:val="left"/>
        <w:rPr>
          <w:rFonts w:hint="eastAsia" w:cs="宋体"/>
          <w:bCs w:val="0"/>
          <w:kern w:val="21"/>
          <w:sz w:val="24"/>
          <w:szCs w:val="24"/>
        </w:rPr>
      </w:pPr>
      <w:r>
        <w:rPr>
          <w:rFonts w:hint="eastAsia" w:cs="宋体"/>
          <w:bCs w:val="0"/>
          <w:kern w:val="21"/>
          <w:sz w:val="24"/>
          <w:szCs w:val="24"/>
        </w:rPr>
        <w:t>允许储存期内真空度：不低于6.6×10-2Pa</w:t>
      </w:r>
    </w:p>
    <w:p>
      <w:pPr>
        <w:pStyle w:val="80"/>
        <w:numPr>
          <w:ilvl w:val="0"/>
          <w:numId w:val="8"/>
        </w:numPr>
        <w:spacing w:line="360" w:lineRule="auto"/>
        <w:ind w:firstLine="480"/>
        <w:jc w:val="left"/>
        <w:rPr>
          <w:rFonts w:hint="eastAsia" w:cs="宋体"/>
          <w:bCs w:val="0"/>
          <w:kern w:val="21"/>
          <w:sz w:val="24"/>
          <w:szCs w:val="24"/>
        </w:rPr>
      </w:pPr>
      <w:r>
        <w:rPr>
          <w:rFonts w:hint="eastAsia" w:cs="宋体"/>
          <w:bCs w:val="0"/>
          <w:kern w:val="21"/>
          <w:sz w:val="24"/>
          <w:szCs w:val="24"/>
        </w:rPr>
        <w:t>动、静触头允许磨损厚度：3mm</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5.2.1.14  操作机构</w:t>
      </w:r>
    </w:p>
    <w:p>
      <w:pPr>
        <w:pStyle w:val="80"/>
        <w:numPr>
          <w:ilvl w:val="0"/>
          <w:numId w:val="9"/>
        </w:numPr>
        <w:spacing w:line="360" w:lineRule="auto"/>
        <w:ind w:firstLine="480"/>
        <w:jc w:val="left"/>
        <w:rPr>
          <w:rFonts w:hint="eastAsia" w:cs="宋体"/>
          <w:bCs w:val="0"/>
          <w:kern w:val="21"/>
          <w:sz w:val="24"/>
          <w:szCs w:val="24"/>
        </w:rPr>
      </w:pPr>
      <w:r>
        <w:rPr>
          <w:rFonts w:hint="eastAsia" w:cs="宋体"/>
          <w:bCs w:val="0"/>
          <w:kern w:val="21"/>
          <w:sz w:val="24"/>
          <w:szCs w:val="24"/>
        </w:rPr>
        <w:t>断路器操作机构电源采用DC220V。</w:t>
      </w:r>
    </w:p>
    <w:p>
      <w:pPr>
        <w:pStyle w:val="80"/>
        <w:numPr>
          <w:ilvl w:val="0"/>
          <w:numId w:val="9"/>
        </w:numPr>
        <w:spacing w:line="360" w:lineRule="auto"/>
        <w:ind w:firstLine="480"/>
        <w:jc w:val="left"/>
        <w:rPr>
          <w:rFonts w:hint="eastAsia" w:cs="宋体"/>
          <w:bCs w:val="0"/>
          <w:kern w:val="21"/>
          <w:sz w:val="24"/>
          <w:szCs w:val="24"/>
        </w:rPr>
      </w:pPr>
      <w:r>
        <w:rPr>
          <w:rFonts w:hint="eastAsia" w:cs="宋体"/>
          <w:bCs w:val="0"/>
          <w:kern w:val="21"/>
          <w:sz w:val="24"/>
          <w:szCs w:val="24"/>
        </w:rPr>
        <w:t>应提供机构手动合、分闸装置，以便在失去控制电源时操作断路器。该手动装置应有防误动及防误操作措施。</w:t>
      </w:r>
    </w:p>
    <w:p>
      <w:pPr>
        <w:pStyle w:val="80"/>
        <w:numPr>
          <w:ilvl w:val="0"/>
          <w:numId w:val="9"/>
        </w:numPr>
        <w:spacing w:line="360" w:lineRule="auto"/>
        <w:ind w:firstLine="480"/>
        <w:jc w:val="left"/>
        <w:rPr>
          <w:rFonts w:hint="eastAsia" w:cs="宋体"/>
          <w:bCs w:val="0"/>
          <w:kern w:val="21"/>
          <w:sz w:val="24"/>
          <w:szCs w:val="24"/>
        </w:rPr>
      </w:pPr>
      <w:r>
        <w:rPr>
          <w:rFonts w:hint="eastAsia" w:cs="宋体"/>
          <w:bCs w:val="0"/>
          <w:kern w:val="21"/>
          <w:sz w:val="24"/>
          <w:szCs w:val="24"/>
        </w:rPr>
        <w:t>所有控制设备，包括分合闸线圈，应采用正常工作电压为220V的直流系统。其操作电压范围：</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 xml:space="preserve">    合闸线圈   80%～110% </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 xml:space="preserve">    分闸线圈   65%～110% </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 xml:space="preserve">    跳闸线圈不应动作的电压   ≤30% </w:t>
      </w:r>
    </w:p>
    <w:p>
      <w:pPr>
        <w:pStyle w:val="80"/>
        <w:numPr>
          <w:ilvl w:val="0"/>
          <w:numId w:val="9"/>
        </w:numPr>
        <w:spacing w:line="360" w:lineRule="auto"/>
        <w:ind w:firstLine="480"/>
        <w:jc w:val="left"/>
        <w:rPr>
          <w:rFonts w:hint="eastAsia" w:cs="宋体"/>
          <w:bCs w:val="0"/>
          <w:kern w:val="21"/>
          <w:sz w:val="24"/>
          <w:szCs w:val="24"/>
        </w:rPr>
      </w:pPr>
      <w:r>
        <w:rPr>
          <w:rFonts w:hint="eastAsia" w:cs="宋体"/>
          <w:bCs w:val="0"/>
          <w:kern w:val="21"/>
          <w:sz w:val="24"/>
          <w:szCs w:val="24"/>
        </w:rPr>
        <w:t>应安装能显示断路器操作次数的计数器。该计数器与操作回路应无电气联系，且不影响断路器的合分闸操作。</w:t>
      </w:r>
    </w:p>
    <w:p>
      <w:pPr>
        <w:pStyle w:val="80"/>
        <w:numPr>
          <w:ilvl w:val="0"/>
          <w:numId w:val="9"/>
        </w:numPr>
        <w:spacing w:line="360" w:lineRule="auto"/>
        <w:ind w:firstLine="480"/>
        <w:jc w:val="left"/>
        <w:rPr>
          <w:rFonts w:hint="eastAsia" w:cs="宋体"/>
          <w:bCs w:val="0"/>
          <w:kern w:val="21"/>
          <w:sz w:val="24"/>
          <w:szCs w:val="24"/>
        </w:rPr>
      </w:pPr>
      <w:r>
        <w:rPr>
          <w:rFonts w:hint="eastAsia" w:cs="宋体"/>
          <w:bCs w:val="0"/>
          <w:kern w:val="21"/>
          <w:sz w:val="24"/>
          <w:szCs w:val="24"/>
        </w:rPr>
        <w:t>断路器小车进退必须灵活可靠，小车机械限位必须坚固耐用，故障不大于5%，否则供方必须免费更换。</w:t>
      </w:r>
    </w:p>
    <w:p>
      <w:pPr>
        <w:pStyle w:val="80"/>
        <w:numPr>
          <w:ilvl w:val="0"/>
          <w:numId w:val="9"/>
        </w:numPr>
        <w:spacing w:line="360" w:lineRule="auto"/>
        <w:ind w:firstLine="480"/>
        <w:jc w:val="left"/>
        <w:rPr>
          <w:rFonts w:hint="eastAsia" w:cs="宋体"/>
          <w:bCs w:val="0"/>
          <w:kern w:val="21"/>
          <w:sz w:val="24"/>
          <w:szCs w:val="24"/>
        </w:rPr>
      </w:pPr>
      <w:r>
        <w:rPr>
          <w:rFonts w:hint="eastAsia" w:cs="宋体"/>
          <w:bCs w:val="0"/>
          <w:kern w:val="21"/>
          <w:sz w:val="24"/>
          <w:szCs w:val="24"/>
        </w:rPr>
        <w:t>断路器额定开断2万次及以上，全绝缘，陶瓷管，630A/25KA，断路器触头必须满足带额定电流不发热，温度不超过65℃（温升≦30度），否则供方必须将全部批次的开关更换掉。</w:t>
      </w:r>
    </w:p>
    <w:p>
      <w:pPr>
        <w:pStyle w:val="80"/>
        <w:numPr>
          <w:ilvl w:val="0"/>
          <w:numId w:val="9"/>
        </w:numPr>
        <w:spacing w:line="360" w:lineRule="auto"/>
        <w:ind w:firstLine="480"/>
        <w:jc w:val="left"/>
        <w:rPr>
          <w:rFonts w:hint="eastAsia" w:cs="宋体"/>
          <w:bCs w:val="0"/>
          <w:kern w:val="21"/>
          <w:sz w:val="24"/>
          <w:szCs w:val="24"/>
        </w:rPr>
      </w:pPr>
      <w:r>
        <w:rPr>
          <w:rFonts w:hint="eastAsia" w:cs="宋体"/>
          <w:bCs w:val="0"/>
          <w:kern w:val="21"/>
          <w:sz w:val="24"/>
          <w:szCs w:val="24"/>
        </w:rPr>
        <w:t>具备防跳跃装置功能。</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5.2.1.15 断路器手车为落地式，要求互换性强、操作安全可靠。真空断路器回路应配备过电压装置，以防止操作过电压。</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5.2.1.16在每个配电室配置绝缘检修台（非金属轻质）1个，高度为600mm且便于一人转移搬运,工频交流耐压不低于15KV。</w:t>
      </w:r>
    </w:p>
    <w:p>
      <w:pPr>
        <w:pStyle w:val="80"/>
        <w:spacing w:line="360" w:lineRule="auto"/>
        <w:ind w:firstLine="480"/>
        <w:jc w:val="left"/>
        <w:rPr>
          <w:rFonts w:cs="宋体"/>
          <w:bCs w:val="0"/>
          <w:kern w:val="21"/>
          <w:sz w:val="24"/>
          <w:szCs w:val="24"/>
        </w:rPr>
      </w:pPr>
      <w:r>
        <w:rPr>
          <w:rFonts w:hint="eastAsia" w:cs="宋体"/>
          <w:bCs w:val="0"/>
          <w:kern w:val="21"/>
          <w:sz w:val="24"/>
          <w:szCs w:val="24"/>
        </w:rPr>
        <w:t>5.2.2 干式电流互感器</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采用环氧树脂真空浇注型单相电流互感器。额定电流比、准确级和容量见招标图纸。额定短时耐受电流：≥</w:t>
      </w:r>
      <w:r>
        <w:rPr>
          <w:rFonts w:cs="宋体"/>
          <w:bCs w:val="0"/>
          <w:kern w:val="21"/>
          <w:sz w:val="24"/>
          <w:szCs w:val="24"/>
        </w:rPr>
        <w:t>20kA</w:t>
      </w:r>
      <w:r>
        <w:rPr>
          <w:rFonts w:hint="eastAsia" w:cs="宋体"/>
          <w:bCs w:val="0"/>
          <w:kern w:val="21"/>
          <w:sz w:val="24"/>
          <w:szCs w:val="24"/>
        </w:rPr>
        <w:t>(1S)、额定峰值耐受电流：≥</w:t>
      </w:r>
      <w:r>
        <w:rPr>
          <w:rFonts w:cs="宋体"/>
          <w:bCs w:val="0"/>
          <w:kern w:val="21"/>
          <w:sz w:val="24"/>
          <w:szCs w:val="24"/>
        </w:rPr>
        <w:t>50kA</w:t>
      </w:r>
      <w:r>
        <w:rPr>
          <w:rFonts w:hint="eastAsia" w:cs="宋体"/>
          <w:bCs w:val="0"/>
          <w:kern w:val="21"/>
          <w:sz w:val="24"/>
          <w:szCs w:val="24"/>
        </w:rPr>
        <w:t>，局部放电：≤5PC。</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w:t>
      </w:r>
      <w:r>
        <w:rPr>
          <w:rFonts w:cs="宋体"/>
          <w:bCs w:val="0"/>
          <w:kern w:val="21"/>
          <w:sz w:val="24"/>
          <w:szCs w:val="24"/>
        </w:rPr>
        <w:t>3</w:t>
      </w:r>
      <w:r>
        <w:rPr>
          <w:rFonts w:hint="eastAsia" w:cs="宋体"/>
          <w:bCs w:val="0"/>
          <w:kern w:val="21"/>
          <w:sz w:val="24"/>
          <w:szCs w:val="24"/>
        </w:rPr>
        <w:t xml:space="preserve">  </w:t>
      </w:r>
      <w:r>
        <w:rPr>
          <w:rFonts w:hint="eastAsia" w:ascii="Arial" w:cs="Arial"/>
          <w:spacing w:val="-3"/>
          <w:kern w:val="0"/>
          <w:sz w:val="24"/>
          <w:szCs w:val="22"/>
        </w:rPr>
        <w:t>过电压</w:t>
      </w:r>
      <w:r>
        <w:rPr>
          <w:rFonts w:hint="eastAsia" w:cs="宋体"/>
          <w:bCs w:val="0"/>
          <w:sz w:val="24"/>
          <w:szCs w:val="24"/>
        </w:rPr>
        <w:t>抑治</w:t>
      </w:r>
      <w:r>
        <w:rPr>
          <w:rFonts w:hint="eastAsia" w:ascii="Arial" w:cs="Arial"/>
          <w:spacing w:val="-3"/>
          <w:kern w:val="0"/>
          <w:sz w:val="24"/>
          <w:szCs w:val="22"/>
        </w:rPr>
        <w:t>柜</w:t>
      </w:r>
      <w:r>
        <w:rPr>
          <w:rFonts w:hint="eastAsia" w:cs="宋体"/>
          <w:bCs w:val="0"/>
          <w:kern w:val="21"/>
          <w:sz w:val="24"/>
          <w:szCs w:val="24"/>
        </w:rPr>
        <w:t xml:space="preserve">                         </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w:t>
      </w:r>
      <w:r>
        <w:rPr>
          <w:rFonts w:cs="宋体"/>
          <w:bCs w:val="0"/>
          <w:kern w:val="21"/>
          <w:sz w:val="24"/>
          <w:szCs w:val="24"/>
        </w:rPr>
        <w:t>3</w:t>
      </w:r>
      <w:r>
        <w:rPr>
          <w:rFonts w:hint="eastAsia" w:cs="宋体"/>
          <w:bCs w:val="0"/>
          <w:kern w:val="21"/>
          <w:sz w:val="24"/>
          <w:szCs w:val="24"/>
        </w:rPr>
        <w:t>.1 装置的性能要求</w:t>
      </w:r>
    </w:p>
    <w:p>
      <w:pPr>
        <w:pStyle w:val="67"/>
        <w:tabs>
          <w:tab w:val="left" w:pos="1030"/>
        </w:tabs>
        <w:autoSpaceDE w:val="0"/>
        <w:autoSpaceDN w:val="0"/>
        <w:spacing w:before="0" w:line="365" w:lineRule="auto"/>
        <w:ind w:left="0" w:firstLine="480" w:firstLineChars="200"/>
        <w:rPr>
          <w:rFonts w:hint="eastAsia" w:ascii="Arial" w:cs="Arial"/>
          <w:spacing w:val="-3"/>
          <w:kern w:val="0"/>
          <w:sz w:val="24"/>
          <w:szCs w:val="22"/>
          <w:lang w:val="en-US"/>
        </w:rPr>
      </w:pPr>
      <w:r>
        <w:rPr>
          <w:rFonts w:hint="eastAsia"/>
          <w:kern w:val="21"/>
          <w:sz w:val="24"/>
          <w:lang w:val="en-US"/>
        </w:rPr>
        <w:t xml:space="preserve"> </w:t>
      </w:r>
      <w:r>
        <w:rPr>
          <w:rFonts w:hint="eastAsia" w:ascii="Arial" w:cs="Arial"/>
          <w:spacing w:val="-3"/>
          <w:kern w:val="0"/>
          <w:sz w:val="24"/>
          <w:szCs w:val="22"/>
          <w:lang w:val="en-US"/>
        </w:rPr>
        <w:t>母线设置过电压抑治柜，共</w:t>
      </w:r>
      <w:r>
        <w:rPr>
          <w:rFonts w:ascii="Arial" w:cs="Arial"/>
          <w:spacing w:val="-3"/>
          <w:kern w:val="0"/>
          <w:sz w:val="24"/>
          <w:szCs w:val="22"/>
          <w:lang w:val="en-US"/>
        </w:rPr>
        <w:t>1</w:t>
      </w:r>
      <w:r>
        <w:rPr>
          <w:rFonts w:hint="eastAsia" w:ascii="Arial" w:cs="Arial"/>
          <w:spacing w:val="-3"/>
          <w:kern w:val="0"/>
          <w:sz w:val="24"/>
          <w:szCs w:val="22"/>
          <w:lang w:val="en-US"/>
        </w:rPr>
        <w:t>台。要求柜体颜色及尺寸与其它开关柜相同，柜内配电压互感器、高压隔离开关、高压熔断器及二次微机消谐装置等。</w:t>
      </w:r>
      <w:r>
        <w:rPr>
          <w:rFonts w:hint="eastAsia" w:hAnsi="宋体" w:cs="Times New Roman"/>
          <w:sz w:val="24"/>
        </w:rPr>
        <w:t>该装置要求具有国家级权威高压电器试验中心的检验报告。</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 电压互感器精度为 0.2/0.5/</w:t>
      </w:r>
      <w:r>
        <w:rPr>
          <w:rFonts w:ascii="Arial" w:cs="Arial"/>
          <w:spacing w:val="-3"/>
          <w:kern w:val="0"/>
          <w:sz w:val="24"/>
          <w:szCs w:val="22"/>
          <w:lang w:val="en-US"/>
        </w:rPr>
        <w:t>6</w:t>
      </w:r>
      <w:r>
        <w:rPr>
          <w:rFonts w:hint="eastAsia" w:ascii="Arial" w:cs="Arial"/>
          <w:spacing w:val="-3"/>
          <w:kern w:val="0"/>
          <w:sz w:val="24"/>
          <w:szCs w:val="22"/>
          <w:lang w:val="en-US"/>
        </w:rPr>
        <w:t>P 级</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 xml:space="preserve">- 额定一次侧电压为 </w:t>
      </w:r>
      <w:r>
        <w:rPr>
          <w:rFonts w:ascii="Arial" w:cs="Arial"/>
          <w:spacing w:val="-3"/>
          <w:kern w:val="0"/>
          <w:sz w:val="24"/>
          <w:szCs w:val="22"/>
          <w:lang w:val="en-US"/>
        </w:rPr>
        <w:t>35</w:t>
      </w:r>
      <w:r>
        <w:rPr>
          <w:rFonts w:hint="eastAsia" w:ascii="Arial" w:cs="Arial"/>
          <w:spacing w:val="-3"/>
          <w:kern w:val="0"/>
          <w:sz w:val="24"/>
          <w:szCs w:val="22"/>
          <w:lang w:val="en-US"/>
        </w:rPr>
        <w:t>kV/√3</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 额定二次侧电压为 100V/√3 ，100V/√3 ，100V/3</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 额定输出容量为 100/50/50VA</w:t>
      </w:r>
    </w:p>
    <w:p>
      <w:pPr>
        <w:pStyle w:val="67"/>
        <w:tabs>
          <w:tab w:val="left" w:pos="1030"/>
        </w:tabs>
        <w:autoSpaceDE w:val="0"/>
        <w:autoSpaceDN w:val="0"/>
        <w:spacing w:before="0" w:line="365" w:lineRule="auto"/>
        <w:ind w:left="0" w:firstLine="468" w:firstLineChars="200"/>
        <w:rPr>
          <w:rFonts w:hint="eastAsia"/>
          <w:kern w:val="21"/>
          <w:sz w:val="24"/>
          <w:lang w:val="en-US"/>
        </w:rPr>
      </w:pPr>
      <w:r>
        <w:rPr>
          <w:rFonts w:hint="eastAsia" w:ascii="Arial" w:cs="Arial"/>
          <w:spacing w:val="-3"/>
          <w:kern w:val="0"/>
          <w:sz w:val="24"/>
          <w:szCs w:val="22"/>
          <w:lang w:val="en-US"/>
        </w:rPr>
        <w:t>- PT柜内配置智能检测仪</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w:t>
      </w:r>
      <w:r>
        <w:rPr>
          <w:rFonts w:cs="宋体"/>
          <w:bCs w:val="0"/>
          <w:kern w:val="21"/>
          <w:sz w:val="24"/>
          <w:szCs w:val="24"/>
        </w:rPr>
        <w:t>4</w:t>
      </w:r>
      <w:r>
        <w:rPr>
          <w:rFonts w:hint="eastAsia" w:cs="宋体"/>
          <w:bCs w:val="0"/>
          <w:kern w:val="21"/>
          <w:sz w:val="24"/>
          <w:szCs w:val="24"/>
        </w:rPr>
        <w:t xml:space="preserve"> </w:t>
      </w:r>
      <w:r>
        <w:rPr>
          <w:rFonts w:hint="eastAsia" w:ascii="Arial" w:cs="Arial"/>
          <w:spacing w:val="-3"/>
          <w:kern w:val="0"/>
          <w:sz w:val="24"/>
          <w:szCs w:val="22"/>
        </w:rPr>
        <w:t>过电压保护器</w:t>
      </w:r>
    </w:p>
    <w:p>
      <w:pPr>
        <w:pStyle w:val="80"/>
        <w:numPr>
          <w:ilvl w:val="0"/>
          <w:numId w:val="10"/>
        </w:numPr>
        <w:spacing w:line="360" w:lineRule="auto"/>
        <w:ind w:firstLine="480"/>
        <w:jc w:val="left"/>
        <w:rPr>
          <w:rFonts w:hint="eastAsia" w:ascii="Arial" w:cs="Arial"/>
          <w:spacing w:val="-3"/>
          <w:kern w:val="0"/>
          <w:sz w:val="24"/>
          <w:szCs w:val="22"/>
        </w:rPr>
      </w:pPr>
      <w:r>
        <w:rPr>
          <w:rFonts w:hint="eastAsia" w:cs="宋体"/>
          <w:bCs w:val="0"/>
          <w:kern w:val="21"/>
          <w:sz w:val="24"/>
          <w:szCs w:val="24"/>
        </w:rPr>
        <w:t xml:space="preserve"> </w:t>
      </w:r>
      <w:r>
        <w:rPr>
          <w:rFonts w:hint="eastAsia" w:ascii="Arial" w:cs="Arial"/>
          <w:spacing w:val="-3"/>
          <w:kern w:val="0"/>
          <w:sz w:val="24"/>
          <w:szCs w:val="22"/>
        </w:rPr>
        <w:t>采用复合式过电压保护器，将阻容吸收器和氧化锌非线性电阻相结合，具有阻容吸收器和组合式过电压保护器的双重功能，设间隙，采用四极式接地法，具有故障自动脱离功能。</w:t>
      </w:r>
    </w:p>
    <w:p>
      <w:pPr>
        <w:pStyle w:val="80"/>
        <w:numPr>
          <w:ilvl w:val="0"/>
          <w:numId w:val="10"/>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w:t>
      </w:r>
      <w:r>
        <w:rPr>
          <w:rFonts w:hint="eastAsia" w:ascii="Arial" w:cs="Arial"/>
          <w:spacing w:val="-3"/>
          <w:kern w:val="0"/>
          <w:sz w:val="24"/>
          <w:szCs w:val="22"/>
        </w:rPr>
        <w:t>操作冲击电流：400A</w:t>
      </w:r>
      <w:r>
        <w:rPr>
          <w:rFonts w:hint="eastAsia" w:cs="宋体"/>
          <w:bCs w:val="0"/>
          <w:kern w:val="21"/>
          <w:sz w:val="24"/>
          <w:szCs w:val="24"/>
        </w:rPr>
        <w:t xml:space="preserve"> </w:t>
      </w:r>
    </w:p>
    <w:p>
      <w:pPr>
        <w:pStyle w:val="80"/>
        <w:numPr>
          <w:ilvl w:val="0"/>
          <w:numId w:val="10"/>
        </w:numPr>
        <w:spacing w:line="360" w:lineRule="auto"/>
        <w:ind w:firstLine="480"/>
        <w:jc w:val="left"/>
        <w:rPr>
          <w:rFonts w:hint="eastAsia" w:cs="宋体"/>
          <w:bCs w:val="0"/>
          <w:kern w:val="21"/>
          <w:sz w:val="24"/>
          <w:szCs w:val="24"/>
        </w:rPr>
      </w:pPr>
      <w:r>
        <w:rPr>
          <w:rFonts w:hint="eastAsia" w:cs="宋体"/>
          <w:bCs w:val="0"/>
          <w:kern w:val="21"/>
          <w:sz w:val="24"/>
          <w:szCs w:val="24"/>
        </w:rPr>
        <w:t xml:space="preserve"> </w:t>
      </w:r>
      <w:r>
        <w:rPr>
          <w:rFonts w:hint="eastAsia" w:ascii="Arial" w:cs="Arial"/>
          <w:spacing w:val="-3"/>
          <w:kern w:val="0"/>
          <w:sz w:val="24"/>
          <w:szCs w:val="22"/>
        </w:rPr>
        <w:t>设过电压动作计数。</w:t>
      </w:r>
    </w:p>
    <w:p>
      <w:pPr>
        <w:adjustRightInd w:val="0"/>
        <w:snapToGrid w:val="0"/>
        <w:spacing w:line="360" w:lineRule="auto"/>
        <w:ind w:firstLine="480" w:firstLineChars="200"/>
        <w:rPr>
          <w:rFonts w:hint="eastAsia" w:ascii="Arial" w:cs="Arial"/>
          <w:spacing w:val="-3"/>
          <w:kern w:val="0"/>
          <w:sz w:val="24"/>
          <w:szCs w:val="22"/>
        </w:rPr>
      </w:pPr>
      <w:r>
        <w:rPr>
          <w:rFonts w:hint="eastAsia" w:ascii="宋体" w:hAnsi="宋体" w:cs="宋体"/>
          <w:sz w:val="24"/>
        </w:rPr>
        <w:t xml:space="preserve">5.2.5 </w:t>
      </w:r>
      <w:r>
        <w:rPr>
          <w:rFonts w:hint="eastAsia" w:ascii="Arial" w:cs="Arial"/>
          <w:spacing w:val="-3"/>
          <w:kern w:val="0"/>
          <w:sz w:val="24"/>
          <w:szCs w:val="22"/>
        </w:rPr>
        <w:t>小电流选线装置（主机安装在</w:t>
      </w:r>
      <w:r>
        <w:rPr>
          <w:rFonts w:ascii="Arial" w:cs="Arial"/>
          <w:spacing w:val="-3"/>
          <w:kern w:val="0"/>
          <w:sz w:val="24"/>
          <w:szCs w:val="22"/>
        </w:rPr>
        <w:t>PT</w:t>
      </w:r>
      <w:r>
        <w:rPr>
          <w:rFonts w:hint="eastAsia" w:ascii="Arial" w:cs="Arial"/>
          <w:spacing w:val="-3"/>
          <w:kern w:val="0"/>
          <w:sz w:val="24"/>
          <w:szCs w:val="22"/>
        </w:rPr>
        <w:t>柜上）</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rPr>
        <w:t>选用新一代小电流选线装置，</w:t>
      </w:r>
      <w:r>
        <w:rPr>
          <w:rFonts w:hint="eastAsia" w:ascii="Arial" w:cs="Arial"/>
          <w:spacing w:val="-3"/>
          <w:kern w:val="0"/>
          <w:sz w:val="24"/>
          <w:szCs w:val="22"/>
          <w:lang w:val="en-US"/>
        </w:rPr>
        <w:t>其主要功能如下：</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 xml:space="preserve">通用性强、接线简单主机通过五根线（A、B、C、N、L）接于PT二次侧；能适合小电流接地系统的各种情况，包括两相CT和消弧线圈过补偿或全补偿的情况。 </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采用技术先进的硬件及软件，选线准确、可靠，且抗干扰能力强，CPU采用高性能DSP，集数据采集、数据处理、逻辑判断、控制输出于一体，运算速度快，精度高，抗干扰性强、自检及自恢复能力强等特点。并采用智能化软件技术, 可对装置进行就地软件升级。原理先进，选线准确。</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采用大屏幕液晶汉字显示，显示信息丰富直观，能通过提示菜单和面板按键轻松设定和查看各部分的信息，使得调试和维护简单、方便。</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具有记忆故障、接地报警及在线自检功能要求循环存储50条最近发生的故障信息，掉电后信息不丢失；接地信息包括接地故障发生的时间、接地母线、接地线路、接地相别及接地时的PT参数记录，方便事故追忆。正常工作情况下，可对装置进行自检并发出相应信号指示，在发生接地状态下，发出接地告警信号及在失电时发出失电告警信号。</w:t>
      </w:r>
    </w:p>
    <w:p>
      <w:pPr>
        <w:pStyle w:val="67"/>
        <w:tabs>
          <w:tab w:val="left" w:pos="1030"/>
        </w:tabs>
        <w:autoSpaceDE w:val="0"/>
        <w:autoSpaceDN w:val="0"/>
        <w:spacing w:before="0" w:line="365" w:lineRule="auto"/>
        <w:ind w:left="0" w:firstLine="468" w:firstLineChars="200"/>
        <w:rPr>
          <w:rFonts w:ascii="Arial" w:cs="Arial"/>
          <w:spacing w:val="-3"/>
          <w:kern w:val="0"/>
          <w:sz w:val="24"/>
          <w:szCs w:val="22"/>
          <w:lang w:val="en-US"/>
        </w:rPr>
      </w:pPr>
      <w:r>
        <w:rPr>
          <w:rFonts w:hint="eastAsia" w:ascii="Arial" w:cs="Arial"/>
          <w:spacing w:val="-3"/>
          <w:kern w:val="0"/>
          <w:sz w:val="24"/>
          <w:szCs w:val="22"/>
          <w:lang w:val="en-US"/>
        </w:rPr>
        <w:t>故障定位功能；在故障情况下，可通过信号定位探测器查找接地故障点。</w:t>
      </w:r>
    </w:p>
    <w:p>
      <w:pPr>
        <w:adjustRightInd w:val="0"/>
        <w:snapToGrid w:val="0"/>
        <w:spacing w:line="360" w:lineRule="auto"/>
        <w:ind w:firstLine="468" w:firstLineChars="200"/>
        <w:rPr>
          <w:rFonts w:hint="eastAsia" w:ascii="宋体" w:hAnsi="宋体"/>
          <w:sz w:val="24"/>
        </w:rPr>
      </w:pPr>
      <w:r>
        <w:rPr>
          <w:rFonts w:hint="eastAsia" w:ascii="Arial" w:cs="Arial"/>
          <w:spacing w:val="-3"/>
          <w:kern w:val="0"/>
          <w:sz w:val="24"/>
          <w:szCs w:val="22"/>
        </w:rPr>
        <w:t>通信接口（RS232、RS485及RS422）应具备与综自系统通讯的能力并提供相应的通讯规约，</w:t>
      </w:r>
      <w:r>
        <w:rPr>
          <w:rFonts w:hint="eastAsia" w:ascii="Arial" w:hAnsi="Arial" w:cs="Arial"/>
          <w:spacing w:val="-3"/>
          <w:sz w:val="24"/>
          <w:szCs w:val="22"/>
        </w:rPr>
        <w:t>供方无条件配合综自厂家完成与主控室综自系统的对接通讯及调试等工作</w:t>
      </w:r>
      <w:r>
        <w:rPr>
          <w:rFonts w:hint="eastAsia" w:ascii="Arial" w:cs="Arial"/>
          <w:spacing w:val="-3"/>
          <w:sz w:val="24"/>
          <w:szCs w:val="22"/>
        </w:rPr>
        <w:t>，</w:t>
      </w:r>
      <w:r>
        <w:rPr>
          <w:rFonts w:hint="eastAsia" w:ascii="Arial" w:cs="Arial"/>
          <w:spacing w:val="-3"/>
          <w:kern w:val="0"/>
          <w:sz w:val="24"/>
          <w:szCs w:val="22"/>
        </w:rPr>
        <w:t>能够将选线结果准确的上传到监控系统，并能准确的与GPS完成对时功能。</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5.2.6零序电流互感器</w:t>
      </w:r>
    </w:p>
    <w:p>
      <w:pPr>
        <w:pStyle w:val="67"/>
        <w:tabs>
          <w:tab w:val="left" w:pos="1030"/>
        </w:tabs>
        <w:autoSpaceDE w:val="0"/>
        <w:autoSpaceDN w:val="0"/>
        <w:spacing w:before="0" w:line="365" w:lineRule="auto"/>
        <w:ind w:left="0" w:firstLine="0"/>
        <w:rPr>
          <w:rFonts w:hint="eastAsia" w:hAnsi="宋体" w:cs="Times New Roman"/>
          <w:sz w:val="24"/>
          <w:lang w:val="en-US" w:bidi="ar-SA"/>
        </w:rPr>
      </w:pPr>
      <w:r>
        <w:rPr>
          <w:rFonts w:hint="eastAsia" w:hAnsi="宋体" w:cs="Times New Roman"/>
          <w:sz w:val="24"/>
          <w:lang w:val="en-US" w:bidi="ar-SA"/>
        </w:rPr>
        <w:t>电缆馈出线回路配置零序电流互感器，由小电流接地故障处理系统厂家成套配置。</w:t>
      </w:r>
    </w:p>
    <w:p>
      <w:pPr>
        <w:pStyle w:val="80"/>
        <w:spacing w:line="360" w:lineRule="auto"/>
        <w:ind w:firstLine="480"/>
        <w:jc w:val="left"/>
        <w:rPr>
          <w:rFonts w:hint="eastAsia" w:ascii="Arial" w:cs="Arial"/>
          <w:spacing w:val="-3"/>
          <w:kern w:val="0"/>
          <w:sz w:val="24"/>
          <w:szCs w:val="22"/>
        </w:rPr>
      </w:pPr>
      <w:r>
        <w:rPr>
          <w:rFonts w:hint="eastAsia" w:cs="宋体"/>
          <w:bCs w:val="0"/>
          <w:kern w:val="21"/>
          <w:sz w:val="24"/>
          <w:szCs w:val="24"/>
        </w:rPr>
        <w:t>5.2.</w:t>
      </w:r>
      <w:r>
        <w:rPr>
          <w:rFonts w:cs="宋体"/>
          <w:bCs w:val="0"/>
          <w:kern w:val="21"/>
          <w:sz w:val="24"/>
          <w:szCs w:val="24"/>
        </w:rPr>
        <w:t>7</w:t>
      </w:r>
      <w:r>
        <w:rPr>
          <w:rFonts w:hint="eastAsia" w:ascii="Arial" w:cs="Arial"/>
          <w:spacing w:val="-3"/>
          <w:kern w:val="0"/>
          <w:sz w:val="24"/>
          <w:szCs w:val="22"/>
        </w:rPr>
        <w:t>电能表</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电能表：采用国产多功能智能电能表，电能表准确级为0.2级，安装在每面开关柜的二次室内，保证安装美观、牢固，布局合理，</w:t>
      </w:r>
      <w:r>
        <w:rPr>
          <w:rFonts w:hint="eastAsia" w:ascii="Arial" w:hAnsi="Arial" w:cs="Arial"/>
          <w:spacing w:val="-3"/>
          <w:sz w:val="24"/>
          <w:szCs w:val="22"/>
          <w:lang w:val="en-US"/>
        </w:rPr>
        <w:t>与各电气元件应保持适当距离</w:t>
      </w:r>
      <w:r>
        <w:rPr>
          <w:rFonts w:hint="eastAsia" w:ascii="Arial" w:cs="Arial"/>
          <w:spacing w:val="-3"/>
          <w:sz w:val="24"/>
          <w:szCs w:val="22"/>
          <w:lang w:val="en-US"/>
        </w:rPr>
        <w:t>，</w:t>
      </w:r>
      <w:r>
        <w:rPr>
          <w:rFonts w:hint="eastAsia" w:ascii="Arial" w:cs="Arial"/>
          <w:spacing w:val="-3"/>
          <w:kern w:val="0"/>
          <w:sz w:val="24"/>
          <w:szCs w:val="22"/>
          <w:lang w:val="en-US"/>
        </w:rPr>
        <w:t>不影响日常检维修作业。</w:t>
      </w:r>
    </w:p>
    <w:p>
      <w:pPr>
        <w:pStyle w:val="67"/>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所有进、馈线采用多功能智能电能表（单向有功、无功计量，上传电流、电压、功率等）。所有电能表具有通讯接口，通讯协议DL/T645规约和Modbus规约两种以上，</w:t>
      </w:r>
      <w:r>
        <w:rPr>
          <w:rFonts w:hint="eastAsia" w:ascii="Arial" w:hAnsi="Arial" w:cs="Arial"/>
          <w:spacing w:val="-3"/>
          <w:sz w:val="24"/>
          <w:szCs w:val="22"/>
          <w:lang w:val="en-US"/>
        </w:rPr>
        <w:t>供方无条件配合综自厂家完成与主控室综合自动化系统的对接通讯及调试等工作</w:t>
      </w:r>
      <w:r>
        <w:rPr>
          <w:rFonts w:hint="eastAsia" w:ascii="Arial" w:cs="Arial"/>
          <w:spacing w:val="-3"/>
          <w:kern w:val="0"/>
          <w:sz w:val="24"/>
          <w:szCs w:val="22"/>
          <w:lang w:val="en-US"/>
        </w:rPr>
        <w:t>。其技术参数要求如下：</w:t>
      </w:r>
    </w:p>
    <w:p>
      <w:pPr>
        <w:pStyle w:val="80"/>
        <w:numPr>
          <w:ilvl w:val="0"/>
          <w:numId w:val="11"/>
        </w:numPr>
        <w:spacing w:line="360" w:lineRule="auto"/>
        <w:ind w:firstLine="480"/>
        <w:jc w:val="left"/>
        <w:rPr>
          <w:rFonts w:hint="eastAsia" w:ascii="Arial" w:cs="Arial"/>
          <w:spacing w:val="-3"/>
          <w:kern w:val="0"/>
          <w:sz w:val="24"/>
          <w:szCs w:val="22"/>
        </w:rPr>
      </w:pPr>
      <w:r>
        <w:rPr>
          <w:rFonts w:hint="eastAsia" w:cs="宋体"/>
          <w:bCs w:val="0"/>
          <w:kern w:val="21"/>
          <w:sz w:val="24"/>
          <w:szCs w:val="24"/>
        </w:rPr>
        <w:t xml:space="preserve"> </w:t>
      </w:r>
      <w:r>
        <w:rPr>
          <w:rFonts w:hint="eastAsia" w:ascii="Arial" w:hAnsi="Times New Roman" w:cs="Arial"/>
          <w:bCs w:val="0"/>
          <w:spacing w:val="-3"/>
          <w:kern w:val="0"/>
          <w:sz w:val="24"/>
          <w:szCs w:val="22"/>
          <w:lang w:bidi="zh-CN"/>
        </w:rPr>
        <w:t>额定电压：3×57.7/100V</w:t>
      </w:r>
    </w:p>
    <w:p>
      <w:pPr>
        <w:pStyle w:val="80"/>
        <w:numPr>
          <w:ilvl w:val="0"/>
          <w:numId w:val="11"/>
        </w:numPr>
        <w:spacing w:line="360" w:lineRule="auto"/>
        <w:ind w:firstLine="468"/>
        <w:jc w:val="left"/>
        <w:rPr>
          <w:rFonts w:hint="eastAsia" w:ascii="Arial" w:cs="Arial"/>
          <w:spacing w:val="-3"/>
          <w:kern w:val="0"/>
          <w:sz w:val="24"/>
          <w:szCs w:val="22"/>
        </w:rPr>
      </w:pPr>
      <w:r>
        <w:rPr>
          <w:rFonts w:hint="eastAsia" w:ascii="Arial" w:cs="Arial"/>
          <w:spacing w:val="-3"/>
          <w:kern w:val="0"/>
          <w:sz w:val="24"/>
          <w:szCs w:val="22"/>
        </w:rPr>
        <w:t xml:space="preserve"> 电流规格：互感器接入式，互感器二次电流为</w:t>
      </w:r>
      <w:r>
        <w:rPr>
          <w:rFonts w:ascii="Arial" w:cs="Arial"/>
          <w:spacing w:val="-3"/>
          <w:kern w:val="0"/>
          <w:sz w:val="24"/>
          <w:szCs w:val="22"/>
        </w:rPr>
        <w:t>5</w:t>
      </w:r>
      <w:r>
        <w:rPr>
          <w:rFonts w:hint="eastAsia" w:ascii="Arial" w:cs="Arial"/>
          <w:spacing w:val="-3"/>
          <w:kern w:val="0"/>
          <w:sz w:val="24"/>
          <w:szCs w:val="22"/>
        </w:rPr>
        <w:t>A。</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5.2.8 电流互感器二次过电压保护器</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若电流互感器在运行中发生二次绕组开路，或一次绕组流过异常过电流（如雷击、谐振、电容充电电流、电感启动电流等），将会在二次侧产生数千伏甚至上万伏的过电压。这不仅给二次系统绝缘造成危害，还会使互感器过激而烧损，甚至危及运行人员的生命安全。 电流互感器二次过电压保护器可解决上述问题，可限制CT二次开路时在二次绕组产生的过电压，从而保护设备和人身安全。</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5.2.9</w:t>
      </w:r>
      <w:r>
        <w:rPr>
          <w:rFonts w:hint="eastAsia" w:ascii="Arial" w:cs="Arial"/>
          <w:spacing w:val="-3"/>
          <w:kern w:val="0"/>
          <w:sz w:val="24"/>
          <w:szCs w:val="22"/>
        </w:rPr>
        <w:t>保护、测控装置功能：（装置由需方提供）</w:t>
      </w:r>
    </w:p>
    <w:p>
      <w:pPr>
        <w:pStyle w:val="80"/>
        <w:numPr>
          <w:ilvl w:val="0"/>
          <w:numId w:val="12"/>
        </w:numPr>
        <w:spacing w:line="360" w:lineRule="auto"/>
        <w:ind w:firstLine="480"/>
        <w:jc w:val="left"/>
        <w:rPr>
          <w:rFonts w:hint="eastAsia" w:ascii="Arial" w:cs="Arial"/>
          <w:spacing w:val="-3"/>
          <w:kern w:val="0"/>
          <w:sz w:val="24"/>
          <w:szCs w:val="22"/>
        </w:rPr>
      </w:pPr>
      <w:r>
        <w:rPr>
          <w:rFonts w:hint="eastAsia" w:cs="宋体"/>
          <w:bCs w:val="0"/>
          <w:kern w:val="21"/>
          <w:sz w:val="24"/>
          <w:szCs w:val="24"/>
        </w:rPr>
        <w:t xml:space="preserve"> </w:t>
      </w:r>
      <w:r>
        <w:rPr>
          <w:rFonts w:hint="eastAsia" w:ascii="Arial" w:cs="Arial"/>
          <w:spacing w:val="-3"/>
          <w:kern w:val="0"/>
          <w:sz w:val="24"/>
          <w:szCs w:val="22"/>
        </w:rPr>
        <w:t>进线设置</w:t>
      </w:r>
      <w:r>
        <w:rPr>
          <w:rFonts w:hint="eastAsia" w:ascii="Arial" w:hAnsi="Arial" w:cs="仿宋_GB2312"/>
          <w:kern w:val="0"/>
          <w:sz w:val="24"/>
        </w:rPr>
        <w:t>光纤电流差动保护，</w:t>
      </w:r>
      <w:r>
        <w:rPr>
          <w:rFonts w:hint="eastAsia" w:ascii="Arial" w:cs="Arial"/>
          <w:spacing w:val="-3"/>
          <w:kern w:val="0"/>
          <w:sz w:val="24"/>
          <w:szCs w:val="22"/>
        </w:rPr>
        <w:t>定时限过电流保护、过负荷保护等</w:t>
      </w:r>
      <w:r>
        <w:rPr>
          <w:rFonts w:hint="eastAsia" w:ascii="Arial" w:hAnsi="Arial" w:cs="仿宋_GB2312"/>
          <w:kern w:val="0"/>
          <w:sz w:val="24"/>
        </w:rPr>
        <w:t>（须与供电侧保护装置配套）</w:t>
      </w:r>
      <w:r>
        <w:rPr>
          <w:rFonts w:hint="eastAsia" w:ascii="Arial" w:cs="Arial"/>
          <w:spacing w:val="-3"/>
          <w:kern w:val="0"/>
          <w:sz w:val="24"/>
          <w:szCs w:val="22"/>
        </w:rPr>
        <w:t>。</w:t>
      </w:r>
    </w:p>
    <w:p>
      <w:pPr>
        <w:pStyle w:val="67"/>
        <w:numPr>
          <w:ilvl w:val="0"/>
          <w:numId w:val="12"/>
        </w:numPr>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电压互感器设置低电压保护、过电压保护、零序电压保护。</w:t>
      </w:r>
    </w:p>
    <w:p>
      <w:pPr>
        <w:pStyle w:val="67"/>
        <w:numPr>
          <w:ilvl w:val="0"/>
          <w:numId w:val="12"/>
        </w:numPr>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馈出线（变压器）设置速断保护、过电流保护、过负荷保护、零序保护、非电量保护，小电流单相接地选线并与后台机通讯。</w:t>
      </w:r>
    </w:p>
    <w:p>
      <w:pPr>
        <w:pStyle w:val="67"/>
        <w:numPr>
          <w:ilvl w:val="0"/>
          <w:numId w:val="12"/>
        </w:numPr>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所有保护装置就地安装在35kV开关柜上，并采用网线或通讯线和就地的通讯管理机与主控室的通讯管理机通讯。</w:t>
      </w:r>
    </w:p>
    <w:p>
      <w:pPr>
        <w:pStyle w:val="67"/>
        <w:numPr>
          <w:ilvl w:val="0"/>
          <w:numId w:val="12"/>
        </w:numPr>
        <w:tabs>
          <w:tab w:val="left" w:pos="1030"/>
        </w:tabs>
        <w:autoSpaceDE w:val="0"/>
        <w:autoSpaceDN w:val="0"/>
        <w:spacing w:before="0" w:line="365" w:lineRule="auto"/>
        <w:ind w:left="0" w:firstLine="468" w:firstLineChars="200"/>
        <w:rPr>
          <w:rFonts w:hint="eastAsia" w:ascii="Arial" w:cs="Arial"/>
          <w:spacing w:val="-3"/>
          <w:kern w:val="0"/>
          <w:sz w:val="24"/>
          <w:szCs w:val="22"/>
          <w:lang w:val="en-US"/>
        </w:rPr>
      </w:pPr>
      <w:r>
        <w:rPr>
          <w:rFonts w:hint="eastAsia" w:ascii="Arial" w:cs="Arial"/>
          <w:spacing w:val="-3"/>
          <w:kern w:val="0"/>
          <w:sz w:val="24"/>
          <w:szCs w:val="22"/>
          <w:lang w:val="en-US"/>
        </w:rPr>
        <w:t>配电所配置小电流接地系统单相接地故障选线（装置与就地通讯管理机的通讯连接由供方负责）。</w:t>
      </w:r>
    </w:p>
    <w:p>
      <w:pPr>
        <w:pStyle w:val="67"/>
        <w:numPr>
          <w:ilvl w:val="0"/>
          <w:numId w:val="12"/>
        </w:numPr>
        <w:tabs>
          <w:tab w:val="left" w:pos="1030"/>
        </w:tabs>
        <w:autoSpaceDE w:val="0"/>
        <w:autoSpaceDN w:val="0"/>
        <w:spacing w:before="0" w:line="365" w:lineRule="auto"/>
        <w:ind w:left="0" w:firstLine="468" w:firstLineChars="200"/>
        <w:rPr>
          <w:rFonts w:hint="eastAsia" w:hAnsi="宋体" w:cs="Times New Roman"/>
          <w:sz w:val="24"/>
          <w:lang w:val="en-US" w:bidi="ar-SA"/>
        </w:rPr>
      </w:pPr>
      <w:r>
        <w:rPr>
          <w:rFonts w:hint="eastAsia" w:ascii="Arial" w:cs="Arial"/>
          <w:spacing w:val="-3"/>
          <w:kern w:val="0"/>
          <w:sz w:val="24"/>
          <w:szCs w:val="22"/>
          <w:lang w:val="en-US"/>
        </w:rPr>
        <w:t>完成各回路的电压、电流、开关量的采集、有功、无功、功率因数显示、断路器的控制等功能，并能实现数据上传等，即具有遥测、遥信、遥控功能。</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5.3 二次部分技术要求</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5.3.1 断路器辅助触点数量除满足设计要求外，还需在端子排至少预留两对常开和两对常闭接点，工作位、试验位、储能位等也都至少预留一对常开和一对常闭接点。用于断路器控制回路的辅助接点，应能可靠地切断断路器分合闸操作回路的电流。</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5.3.2 所有开关柜上端子排接线及其排列应与需方提供的图纸保持一致。端子排上至少应有15%的备用端子（每段端子排至少预留三个）。柜内布线应满足下列要求：</w:t>
      </w:r>
    </w:p>
    <w:p>
      <w:pPr>
        <w:pStyle w:val="80"/>
        <w:numPr>
          <w:ilvl w:val="0"/>
          <w:numId w:val="13"/>
        </w:numPr>
        <w:spacing w:line="360" w:lineRule="auto"/>
        <w:ind w:firstLine="480"/>
        <w:jc w:val="left"/>
        <w:rPr>
          <w:rFonts w:hint="eastAsia" w:cs="宋体"/>
          <w:bCs w:val="0"/>
          <w:kern w:val="21"/>
          <w:sz w:val="24"/>
          <w:szCs w:val="24"/>
        </w:rPr>
      </w:pPr>
      <w:r>
        <w:rPr>
          <w:rFonts w:hint="eastAsia" w:cs="宋体"/>
          <w:bCs w:val="0"/>
          <w:kern w:val="21"/>
          <w:sz w:val="24"/>
          <w:szCs w:val="24"/>
        </w:rPr>
        <w:t>原理正确，布线合理，配置牢固，整齐美观。</w:t>
      </w:r>
    </w:p>
    <w:p>
      <w:pPr>
        <w:pStyle w:val="80"/>
        <w:numPr>
          <w:ilvl w:val="0"/>
          <w:numId w:val="13"/>
        </w:numPr>
        <w:spacing w:line="360" w:lineRule="auto"/>
        <w:ind w:firstLine="480"/>
        <w:jc w:val="left"/>
        <w:rPr>
          <w:rFonts w:hint="eastAsia" w:cs="宋体"/>
          <w:bCs w:val="0"/>
          <w:kern w:val="21"/>
          <w:sz w:val="24"/>
          <w:szCs w:val="24"/>
        </w:rPr>
      </w:pPr>
      <w:r>
        <w:rPr>
          <w:rFonts w:hint="eastAsia" w:cs="宋体"/>
          <w:bCs w:val="0"/>
          <w:kern w:val="21"/>
          <w:sz w:val="24"/>
          <w:szCs w:val="24"/>
        </w:rPr>
        <w:t>导线均为铜导线，绝缘等级1kV 。</w:t>
      </w:r>
    </w:p>
    <w:p>
      <w:pPr>
        <w:pStyle w:val="80"/>
        <w:numPr>
          <w:ilvl w:val="0"/>
          <w:numId w:val="13"/>
        </w:numPr>
        <w:spacing w:line="360" w:lineRule="auto"/>
        <w:ind w:firstLine="480"/>
        <w:jc w:val="left"/>
        <w:rPr>
          <w:rFonts w:hint="eastAsia" w:cs="宋体"/>
          <w:bCs w:val="0"/>
          <w:kern w:val="21"/>
          <w:sz w:val="24"/>
          <w:szCs w:val="24"/>
        </w:rPr>
      </w:pPr>
      <w:r>
        <w:rPr>
          <w:rFonts w:hint="eastAsia" w:cs="宋体"/>
          <w:bCs w:val="0"/>
          <w:kern w:val="21"/>
          <w:sz w:val="24"/>
          <w:szCs w:val="24"/>
        </w:rPr>
        <w:t>导线截面：控制回路、交流电压回路≧1.5mm2；交流电流回路≧2.5mm2。</w:t>
      </w:r>
    </w:p>
    <w:p>
      <w:pPr>
        <w:pStyle w:val="80"/>
        <w:numPr>
          <w:ilvl w:val="0"/>
          <w:numId w:val="13"/>
        </w:numPr>
        <w:spacing w:line="360" w:lineRule="auto"/>
        <w:ind w:firstLine="480"/>
        <w:jc w:val="left"/>
        <w:rPr>
          <w:rFonts w:hint="eastAsia" w:cs="宋体"/>
          <w:bCs w:val="0"/>
          <w:kern w:val="21"/>
          <w:sz w:val="24"/>
          <w:szCs w:val="24"/>
        </w:rPr>
      </w:pPr>
      <w:r>
        <w:rPr>
          <w:rFonts w:hint="eastAsia" w:cs="宋体"/>
          <w:bCs w:val="0"/>
          <w:kern w:val="21"/>
          <w:sz w:val="24"/>
          <w:szCs w:val="24"/>
        </w:rPr>
        <w:t>供电流互感器接线用的端子排应是电流试验型接线端子。</w:t>
      </w:r>
    </w:p>
    <w:p>
      <w:pPr>
        <w:pStyle w:val="80"/>
        <w:numPr>
          <w:ilvl w:val="0"/>
          <w:numId w:val="13"/>
        </w:numPr>
        <w:spacing w:line="360" w:lineRule="auto"/>
        <w:ind w:firstLine="480"/>
        <w:jc w:val="left"/>
        <w:rPr>
          <w:rFonts w:hint="eastAsia" w:cs="宋体"/>
          <w:bCs w:val="0"/>
          <w:kern w:val="21"/>
          <w:sz w:val="24"/>
          <w:szCs w:val="24"/>
        </w:rPr>
      </w:pPr>
      <w:r>
        <w:rPr>
          <w:rFonts w:hint="eastAsia" w:cs="宋体"/>
          <w:bCs w:val="0"/>
          <w:kern w:val="21"/>
          <w:sz w:val="24"/>
          <w:szCs w:val="24"/>
        </w:rPr>
        <w:t>所有导线的终端应有与需方图纸一致的回路编号或导线走向标识，并全部采用接线端子压接和搪锡处理。</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5.3.3开关柜手车应设有试验位置，当手车处于试验位置时，其主回路应形成隔离断口或分隔，而控制回路是接通的，并提供手车试验位置辅助接点。</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5.3.4手车与高压开关柜辅助回路的插头连接，其同一功能单元、同一种型式的高压电器组件插头的接线应相同，并能互换使用，插头与插座必须接触可靠，并有锁紧措施；插头与开关设备应有可靠的机械连锁，当开关设备在工作位置时，插头应拔不出来。</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5.3.5柜顶小母线做16根，分8根每层，双层布置，排列方式由供方确定。除图纸中有的，其余备用。柜顶小母线仓必须单独封闭，采用φ6mm紫铜棒，铜棒必须搪锡或镀银，采用铜接头螺栓连接，小母线要求套热缩管。</w:t>
      </w:r>
    </w:p>
    <w:p>
      <w:pPr>
        <w:pStyle w:val="80"/>
        <w:spacing w:line="360" w:lineRule="auto"/>
        <w:ind w:firstLine="480"/>
        <w:jc w:val="left"/>
        <w:rPr>
          <w:rFonts w:hint="eastAsia" w:cs="宋体"/>
          <w:bCs w:val="0"/>
          <w:kern w:val="21"/>
          <w:sz w:val="24"/>
          <w:szCs w:val="24"/>
        </w:rPr>
      </w:pPr>
      <w:r>
        <w:rPr>
          <w:rFonts w:hint="eastAsia" w:cs="宋体"/>
          <w:bCs w:val="0"/>
          <w:kern w:val="21"/>
          <w:sz w:val="24"/>
          <w:szCs w:val="24"/>
        </w:rPr>
        <w:t>5.3.6每面柜配带电传感器3只。控制电源、储能电源、PT 二次空开、加热器电源、照明电源、各测控装置电源等要求独立空开，不允许一个空开接两个装置。直流电源装置要求使用直流型专用空开。</w:t>
      </w:r>
    </w:p>
    <w:p>
      <w:pPr>
        <w:pStyle w:val="2"/>
        <w:keepLines/>
        <w:numPr>
          <w:ilvl w:val="0"/>
          <w:numId w:val="2"/>
        </w:numPr>
        <w:adjustRightInd w:val="0"/>
        <w:snapToGrid w:val="0"/>
        <w:spacing w:before="156" w:beforeLines="50" w:after="156" w:afterLines="50" w:line="360" w:lineRule="auto"/>
        <w:jc w:val="left"/>
        <w:textAlignment w:val="baseline"/>
        <w:rPr>
          <w:rFonts w:hint="eastAsia" w:ascii="宋体" w:hAnsi="宋体" w:cs="宋体"/>
          <w:b w:val="0"/>
          <w:bCs w:val="0"/>
          <w:kern w:val="44"/>
          <w:sz w:val="24"/>
        </w:rPr>
      </w:pPr>
      <w:bookmarkStart w:id="12" w:name="_Toc6795"/>
      <w:r>
        <w:rPr>
          <w:rFonts w:hint="eastAsia" w:ascii="宋体" w:hAnsi="宋体" w:cs="宋体"/>
          <w:b w:val="0"/>
          <w:bCs w:val="0"/>
          <w:kern w:val="44"/>
          <w:sz w:val="24"/>
        </w:rPr>
        <w:t>试验</w:t>
      </w:r>
      <w:bookmarkEnd w:id="12"/>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供方应按下述规定进行试验。</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6.1型式试验</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6.1.1开关柜应按国家标准有关规定进行型式试验。</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6.1.2开关柜内主要组件应按各自的国家标准有关规定进行型式试验。</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6.1.3供方应提供近五年内的有关型式的试验报告，以证明所供应的开关柜及其组件满足本技术协议和有关国家标准的规定。</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6.2出厂试验</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开关柜出厂试验至少应包括下列项目：</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6.2.1主回路的工频耐压试验；</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6.2.2辅助回路和控制回路的工频耐压试验；</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6.2.3局部放电测量；</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6.2.4主回路电阻测量（供方需提供合格的数据范围）；</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6.2.5机械特性参数测量（供方需提供合格的数据范围）；</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6.2.6机械性能、机械操作及机械防止误操作装置或电气连锁装置功能的试验；</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6.2.7仪表、继电器及接线正确性检定；</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6.2.8在使用中可以互换的具有同样额定值和结构的组件，应检验互换性。</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6.3现场验收试验</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现场交接试验在安装完毕后，按“电气设备交接试验标准”由需方进行，现场交接试验所测结果，应符合工厂规定的技术协议或需方规定的数据。</w:t>
      </w:r>
    </w:p>
    <w:p>
      <w:pPr>
        <w:pStyle w:val="2"/>
        <w:keepLines/>
        <w:numPr>
          <w:ilvl w:val="0"/>
          <w:numId w:val="2"/>
        </w:numPr>
        <w:adjustRightInd w:val="0"/>
        <w:snapToGrid w:val="0"/>
        <w:spacing w:before="156" w:beforeLines="50" w:after="156" w:afterLines="50" w:line="360" w:lineRule="auto"/>
        <w:jc w:val="left"/>
        <w:textAlignment w:val="baseline"/>
        <w:rPr>
          <w:rFonts w:hint="eastAsia" w:ascii="宋体" w:hAnsi="宋体" w:cs="宋体"/>
          <w:b w:val="0"/>
          <w:bCs w:val="0"/>
          <w:kern w:val="44"/>
          <w:sz w:val="24"/>
        </w:rPr>
      </w:pPr>
      <w:bookmarkStart w:id="13" w:name="_Toc26597"/>
      <w:r>
        <w:rPr>
          <w:rFonts w:hint="eastAsia" w:ascii="宋体" w:hAnsi="宋体" w:cs="宋体"/>
          <w:b w:val="0"/>
          <w:bCs w:val="0"/>
          <w:kern w:val="44"/>
          <w:sz w:val="24"/>
        </w:rPr>
        <w:t>供货时间</w:t>
      </w:r>
      <w:bookmarkEnd w:id="13"/>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年月日将所需的开关柜分批次送至需方施工现场。需方有权根据工程进度要求供方推迟或提前供货。</w:t>
      </w:r>
    </w:p>
    <w:p>
      <w:pPr>
        <w:pStyle w:val="2"/>
        <w:keepLines/>
        <w:numPr>
          <w:ilvl w:val="0"/>
          <w:numId w:val="2"/>
        </w:numPr>
        <w:adjustRightInd w:val="0"/>
        <w:snapToGrid w:val="0"/>
        <w:spacing w:before="156" w:beforeLines="50" w:after="156" w:afterLines="50" w:line="360" w:lineRule="auto"/>
        <w:jc w:val="left"/>
        <w:textAlignment w:val="baseline"/>
        <w:rPr>
          <w:rFonts w:hint="eastAsia" w:ascii="宋体" w:hAnsi="宋体" w:cs="宋体"/>
          <w:b w:val="0"/>
          <w:bCs w:val="0"/>
          <w:kern w:val="44"/>
          <w:sz w:val="24"/>
        </w:rPr>
      </w:pPr>
      <w:bookmarkStart w:id="14" w:name="_Toc17285"/>
      <w:r>
        <w:rPr>
          <w:rFonts w:hint="eastAsia" w:ascii="宋体" w:hAnsi="宋体" w:cs="宋体"/>
          <w:b w:val="0"/>
          <w:bCs w:val="0"/>
          <w:kern w:val="44"/>
          <w:sz w:val="24"/>
        </w:rPr>
        <w:t>质量保证及其它</w:t>
      </w:r>
      <w:bookmarkEnd w:id="14"/>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8.1 供方应承诺所提供的产品应满足国家及行业有关质量标准或双方确定的标准，质保期为正式运行后18个月，质保期内年故障率不得超过1%（等于时扣除50%质保金，等于2%时，扣除100%质保金），设备使用寿命为30年；运行一年内出现设备故障，如果是设备自身质量问题，由供方免费维修或更换。供方必须保证需方10年内配套备件供应。供方需提供5年内免费到现场（不限次数）售后服务。在规定的质保期内，供方对由于设计、制作工艺或材料的缺陷而造成的任何缺陷和故障负责，对产品进行免费维修或更换。</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8.2设备运抵现场开始安装时，供方应在需方通知后派经验丰富的工程技术人员现场指导安装调试，直至设备正常投入运行。设备调试运行后，由双方及有关部门共同对产品按验收标准进行总体验收，在产品质保期内制造质量问题由供方负责修理或更换。对非供方责任造成的设备损坏，供方有优先提供配件和修理的义务。对需方选购的与本合同设备有关的配套设备，供方有提供技术配合的义务，并不由此而发生任何费用。</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8.3质保期满后，供方仍免费提供技术服务，对更换部件只收成本费用，并终身保证以成本价提供易损件。</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8.4除合同中另有规定外，在质保期内如因设备自身原因出现质量问题，供方在收到需方通知后2小时电话响应，24小时内服务人员到达现场，免费负责修理或更换有缺陷的部件或整机。</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8.5设备运抵现场开始安装时，供方应在需方通知后派经验丰富的工程技术人员现场指导安装调试，直至设备正常投入运行。设备调试运行后，由需、供双方及有关部门共同对产品按验收标准进行总体验收。</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8.6培训服务：培训服务：在合同签订后，供方免费在设备投产两年内至少安排3次每次6课时到需方讲课，讲课的内容是所供设备的原理、构造、维护检修工艺等，具体时间由需方提前7天通知。</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8.7在制造过程中，需方可派人到供方进行监造和检验，供方应积极配合。</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8.8运行中出现问题要求响应速度迅速，必须保证1小时内响应，必须在24小时内派技术服务人员到现场排除设备故障。</w:t>
      </w:r>
    </w:p>
    <w:p>
      <w:pPr>
        <w:pStyle w:val="2"/>
        <w:keepLines/>
        <w:numPr>
          <w:ilvl w:val="0"/>
          <w:numId w:val="2"/>
        </w:numPr>
        <w:adjustRightInd w:val="0"/>
        <w:snapToGrid w:val="0"/>
        <w:spacing w:before="156" w:beforeLines="50" w:after="156" w:afterLines="50" w:line="360" w:lineRule="auto"/>
        <w:jc w:val="left"/>
        <w:textAlignment w:val="baseline"/>
        <w:rPr>
          <w:rFonts w:hint="eastAsia" w:ascii="宋体" w:hAnsi="宋体" w:cs="宋体"/>
          <w:b w:val="0"/>
          <w:bCs w:val="0"/>
          <w:kern w:val="44"/>
          <w:sz w:val="24"/>
        </w:rPr>
      </w:pPr>
      <w:bookmarkStart w:id="15" w:name="_Toc17612"/>
      <w:r>
        <w:rPr>
          <w:rFonts w:hint="eastAsia" w:ascii="宋体" w:hAnsi="宋体" w:cs="宋体"/>
          <w:b w:val="0"/>
          <w:bCs w:val="0"/>
          <w:kern w:val="44"/>
          <w:sz w:val="24"/>
        </w:rPr>
        <w:t>技术文件</w:t>
      </w:r>
      <w:bookmarkEnd w:id="15"/>
      <w:r>
        <w:rPr>
          <w:rFonts w:hint="eastAsia" w:ascii="宋体" w:hAnsi="宋体" w:cs="宋体"/>
          <w:b w:val="0"/>
          <w:bCs w:val="0"/>
          <w:kern w:val="44"/>
          <w:sz w:val="24"/>
        </w:rPr>
        <w:t xml:space="preserve"> </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9.1在正式技术协议书签订后1周内，供方向需方提供下述资料包括但不限于：</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9.1.1设备安装图、设备的结构、性能等</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9.1.2有关技术资料</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9.1.3提供的图纸资料，应按ISO达标要求。</w:t>
      </w:r>
    </w:p>
    <w:p>
      <w:pPr>
        <w:tabs>
          <w:tab w:val="left" w:pos="1080"/>
        </w:tabs>
        <w:spacing w:line="360" w:lineRule="auto"/>
        <w:ind w:firstLine="480" w:firstLineChars="200"/>
        <w:rPr>
          <w:rFonts w:hint="eastAsia" w:ascii="宋体" w:hAnsi="宋体"/>
          <w:sz w:val="24"/>
          <w:szCs w:val="22"/>
        </w:rPr>
      </w:pP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9.2供方在产品出厂时，应提供以下技术文件给需方，包括但不限于：</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9.2.1合格证；</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9.2.2运行、维护使用说明书每段4套；</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9.2.3图纸资料3套/配电室。</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9.3供方提供给需方全部最终版的图纸、资料及说明书。其中图纸应包括装配图及安装时设备位置的精确布置图，并且应保证需方可按最终版的图纸资料对所供设备进行维护。</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9.4设备配套件工具</w:t>
      </w:r>
    </w:p>
    <w:p>
      <w:pPr>
        <w:tabs>
          <w:tab w:val="left" w:pos="1080"/>
        </w:tabs>
        <w:spacing w:line="360" w:lineRule="auto"/>
        <w:ind w:firstLine="480" w:firstLineChars="200"/>
        <w:rPr>
          <w:rFonts w:hint="eastAsia" w:ascii="宋体" w:hAnsi="宋体"/>
          <w:sz w:val="24"/>
          <w:szCs w:val="22"/>
        </w:rPr>
      </w:pPr>
      <w:r>
        <w:rPr>
          <w:rFonts w:hint="eastAsia" w:ascii="宋体" w:hAnsi="宋体"/>
          <w:sz w:val="24"/>
          <w:szCs w:val="22"/>
        </w:rPr>
        <w:t>配套操作必须的操作手柄及转运小车。</w:t>
      </w:r>
    </w:p>
    <w:p>
      <w:pPr>
        <w:tabs>
          <w:tab w:val="left" w:pos="1080"/>
        </w:tabs>
        <w:spacing w:line="360" w:lineRule="auto"/>
        <w:ind w:firstLine="480" w:firstLineChars="200"/>
        <w:rPr>
          <w:rFonts w:hint="eastAsia" w:ascii="宋体" w:hAnsi="宋体"/>
          <w:sz w:val="24"/>
          <w:szCs w:val="22"/>
        </w:rPr>
      </w:pPr>
    </w:p>
    <w:p>
      <w:pPr>
        <w:tabs>
          <w:tab w:val="left" w:pos="1080"/>
        </w:tabs>
        <w:spacing w:line="360" w:lineRule="auto"/>
        <w:ind w:left="0" w:leftChars="0" w:firstLine="480" w:firstLineChars="200"/>
        <w:rPr>
          <w:rFonts w:hint="default" w:ascii="宋体" w:hAnsi="宋体"/>
          <w:sz w:val="24"/>
          <w:szCs w:val="22"/>
          <w:lang w:val="en-US" w:eastAsia="zh-CN"/>
        </w:rPr>
      </w:pPr>
      <w:r>
        <w:rPr>
          <w:rFonts w:hint="eastAsia" w:ascii="宋体" w:hAnsi="宋体"/>
          <w:sz w:val="24"/>
          <w:szCs w:val="22"/>
          <w:lang w:val="en-US" w:eastAsia="zh-CN"/>
        </w:rPr>
        <w:t>附：</w:t>
      </w:r>
    </w:p>
    <w:p>
      <w:pPr>
        <w:ind w:firstLine="2891" w:firstLineChars="1200"/>
        <w:jc w:val="both"/>
        <w:rPr>
          <w:rFonts w:hint="eastAsia"/>
          <w:b/>
          <w:bCs/>
          <w:sz w:val="24"/>
          <w:szCs w:val="24"/>
          <w:lang w:val="en-US" w:eastAsia="zh-CN"/>
        </w:rPr>
      </w:pPr>
      <w:r>
        <w:rPr>
          <w:rFonts w:hint="eastAsia"/>
          <w:b/>
          <w:bCs/>
          <w:sz w:val="24"/>
          <w:szCs w:val="24"/>
          <w:lang w:val="en-US" w:eastAsia="zh-CN"/>
        </w:rPr>
        <w:t>高压开关柜内元器件品牌表</w:t>
      </w:r>
    </w:p>
    <w:tbl>
      <w:tblPr>
        <w:tblStyle w:val="26"/>
        <w:tblpPr w:leftFromText="180" w:rightFromText="180" w:vertAnchor="page" w:horzAnchor="page" w:tblpX="2054" w:tblpY="11256"/>
        <w:tblOverlap w:val="never"/>
        <w:tblW w:w="85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8"/>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2628" w:type="dxa"/>
            <w:noWrap w:val="0"/>
            <w:vAlign w:val="center"/>
          </w:tcPr>
          <w:p>
            <w:pPr>
              <w:jc w:val="center"/>
              <w:rPr>
                <w:rFonts w:ascii="宋体" w:hAnsi="宋体"/>
                <w:b/>
              </w:rPr>
            </w:pPr>
            <w:r>
              <w:rPr>
                <w:rFonts w:hint="eastAsia" w:ascii="宋体" w:hAnsi="宋体"/>
                <w:b/>
                <w:color w:val="000000"/>
              </w:rPr>
              <w:t>元件/材料名称</w:t>
            </w:r>
          </w:p>
        </w:tc>
        <w:tc>
          <w:tcPr>
            <w:tcW w:w="5954" w:type="dxa"/>
            <w:noWrap w:val="0"/>
            <w:vAlign w:val="center"/>
          </w:tcPr>
          <w:p>
            <w:pPr>
              <w:jc w:val="center"/>
              <w:rPr>
                <w:rFonts w:ascii="宋体" w:hAnsi="宋体"/>
                <w:b/>
              </w:rPr>
            </w:pPr>
            <w:r>
              <w:rPr>
                <w:rFonts w:hint="eastAsia" w:ascii="宋体" w:hAnsi="宋体"/>
                <w:b/>
                <w:color w:val="000000"/>
              </w:rPr>
              <w:t>品牌、生产或销售厂家、产品系列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628" w:type="dxa"/>
            <w:noWrap w:val="0"/>
            <w:vAlign w:val="center"/>
          </w:tcPr>
          <w:p>
            <w:pPr>
              <w:widowControl/>
              <w:jc w:val="center"/>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kern w:val="0"/>
                <w:sz w:val="21"/>
                <w:szCs w:val="21"/>
              </w:rPr>
              <w:t>高压真空断路器</w:t>
            </w:r>
          </w:p>
          <w:p>
            <w:pPr>
              <w:jc w:val="center"/>
              <w:rPr>
                <w:rFonts w:hint="eastAsia" w:ascii="宋体" w:hAnsi="宋体" w:eastAsia="宋体" w:cs="宋体"/>
                <w:b w:val="0"/>
                <w:bCs w:val="0"/>
                <w:color w:val="auto"/>
                <w:sz w:val="21"/>
                <w:szCs w:val="21"/>
              </w:rPr>
            </w:pPr>
          </w:p>
        </w:tc>
        <w:tc>
          <w:tcPr>
            <w:tcW w:w="5954" w:type="dxa"/>
            <w:noWrap w:val="0"/>
            <w:vAlign w:val="top"/>
          </w:tcPr>
          <w:p>
            <w:pPr>
              <w:rPr>
                <w:rFonts w:hint="default" w:ascii="宋体" w:hAnsi="宋体" w:eastAsia="宋体" w:cs="宋体"/>
                <w:b w:val="0"/>
                <w:bCs w:val="0"/>
                <w:color w:val="auto"/>
                <w:sz w:val="21"/>
                <w:szCs w:val="21"/>
                <w:lang w:val="en-US" w:eastAsia="zh-CN"/>
              </w:rPr>
            </w:pPr>
            <w:r>
              <w:rPr>
                <w:rFonts w:hint="eastAsia" w:ascii="宋体" w:hAnsi="宋体" w:cs="宋体"/>
                <w:b w:val="0"/>
                <w:bCs w:val="0"/>
                <w:color w:val="auto"/>
                <w:sz w:val="21"/>
                <w:szCs w:val="21"/>
                <w:lang w:val="en-US" w:eastAsia="zh-CN"/>
              </w:rPr>
              <w:t>ABB、施耐德、伊顿/库柏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628" w:type="dxa"/>
            <w:noWrap w:val="0"/>
            <w:vAlign w:val="center"/>
          </w:tcPr>
          <w:p>
            <w:pPr>
              <w:jc w:val="center"/>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lang w:val="en-US" w:eastAsia="zh-CN"/>
              </w:rPr>
              <w:t>微机保护</w:t>
            </w:r>
          </w:p>
        </w:tc>
        <w:tc>
          <w:tcPr>
            <w:tcW w:w="5954" w:type="dxa"/>
            <w:noWrap w:val="0"/>
            <w:vAlign w:val="top"/>
          </w:tcPr>
          <w:p>
            <w:pP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南瑞继保</w:t>
            </w:r>
            <w:r>
              <w:rPr>
                <w:rFonts w:hint="eastAsia" w:ascii="宋体" w:hAnsi="宋体" w:cs="宋体"/>
                <w:b w:val="0"/>
                <w:bCs w:val="0"/>
                <w:color w:val="auto"/>
                <w:sz w:val="21"/>
                <w:szCs w:val="21"/>
                <w:lang w:val="en-US" w:eastAsia="zh-CN"/>
              </w:rPr>
              <w:t>、</w:t>
            </w:r>
            <w:r>
              <w:rPr>
                <w:rFonts w:hint="eastAsia" w:ascii="宋体" w:hAnsi="宋体"/>
                <w:color w:val="auto"/>
                <w:sz w:val="21"/>
                <w:szCs w:val="21"/>
                <w:highlight w:val="none"/>
                <w:lang w:val="en-US" w:eastAsia="zh-CN"/>
              </w:rPr>
              <w:t>深圳中电</w:t>
            </w:r>
            <w:r>
              <w:rPr>
                <w:rFonts w:hint="eastAsia" w:ascii="宋体" w:hAnsi="宋体" w:cs="宋体"/>
                <w:b w:val="0"/>
                <w:bCs w:val="0"/>
                <w:color w:val="auto"/>
                <w:sz w:val="21"/>
                <w:szCs w:val="21"/>
                <w:lang w:val="en-US" w:eastAsia="zh-CN"/>
              </w:rPr>
              <w:t>、</w:t>
            </w:r>
            <w:r>
              <w:rPr>
                <w:rFonts w:ascii="宋体" w:hAnsi="宋体"/>
                <w:color w:val="auto"/>
                <w:sz w:val="21"/>
                <w:szCs w:val="21"/>
                <w:highlight w:val="none"/>
              </w:rPr>
              <w:t>国电南自</w:t>
            </w:r>
            <w:r>
              <w:rPr>
                <w:rFonts w:hint="eastAsia" w:ascii="宋体" w:hAnsi="宋体" w:cs="宋体"/>
                <w:b w:val="0"/>
                <w:bCs w:val="0"/>
                <w:color w:val="auto"/>
                <w:sz w:val="21"/>
                <w:szCs w:val="21"/>
                <w:lang w:val="en-US" w:eastAsia="zh-CN"/>
              </w:rPr>
              <w:t>、</w:t>
            </w:r>
            <w:r>
              <w:rPr>
                <w:rFonts w:hint="eastAsia" w:ascii="宋体" w:hAnsi="宋体"/>
                <w:color w:val="auto"/>
                <w:sz w:val="21"/>
                <w:szCs w:val="21"/>
                <w:highlight w:val="none"/>
                <w:lang w:val="en-US" w:eastAsia="zh-CN"/>
              </w:rPr>
              <w:t>上海昂顿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2628" w:type="dxa"/>
            <w:noWrap w:val="0"/>
            <w:vAlign w:val="center"/>
          </w:tcPr>
          <w:p>
            <w:pPr>
              <w:jc w:val="center"/>
              <w:rPr>
                <w:rFonts w:ascii="宋体" w:hAnsi="宋体"/>
                <w:sz w:val="21"/>
                <w:szCs w:val="21"/>
                <w:highlight w:val="none"/>
              </w:rPr>
            </w:pPr>
            <w:r>
              <w:rPr>
                <w:rFonts w:hint="eastAsia" w:ascii="宋体" w:hAnsi="宋体"/>
                <w:color w:val="000000"/>
                <w:sz w:val="21"/>
                <w:szCs w:val="21"/>
                <w:highlight w:val="none"/>
              </w:rPr>
              <w:t>直流屏</w:t>
            </w:r>
          </w:p>
        </w:tc>
        <w:tc>
          <w:tcPr>
            <w:tcW w:w="5954" w:type="dxa"/>
            <w:noWrap w:val="0"/>
            <w:vAlign w:val="top"/>
          </w:tcPr>
          <w:p>
            <w:pP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重庆创思</w:t>
            </w:r>
            <w:r>
              <w:rPr>
                <w:rFonts w:hint="eastAsia" w:ascii="宋体" w:hAnsi="宋体" w:cs="宋体"/>
                <w:b w:val="0"/>
                <w:bCs w:val="0"/>
                <w:color w:val="auto"/>
                <w:sz w:val="21"/>
                <w:szCs w:val="21"/>
                <w:lang w:val="en-US" w:eastAsia="zh-CN"/>
              </w:rPr>
              <w:t>、</w:t>
            </w:r>
            <w:r>
              <w:rPr>
                <w:rFonts w:hint="eastAsia" w:ascii="宋体" w:hAnsi="宋体"/>
                <w:color w:val="auto"/>
                <w:sz w:val="21"/>
                <w:szCs w:val="21"/>
                <w:highlight w:val="none"/>
                <w:lang w:val="en-US" w:eastAsia="zh-CN"/>
              </w:rPr>
              <w:t>河北高盛电气</w:t>
            </w:r>
            <w:r>
              <w:rPr>
                <w:rFonts w:hint="eastAsia" w:ascii="宋体" w:hAnsi="宋体" w:cs="宋体"/>
                <w:b w:val="0"/>
                <w:bCs w:val="0"/>
                <w:color w:val="auto"/>
                <w:sz w:val="21"/>
                <w:szCs w:val="21"/>
                <w:lang w:val="en-US" w:eastAsia="zh-CN"/>
              </w:rPr>
              <w:t>、</w:t>
            </w:r>
            <w:r>
              <w:rPr>
                <w:rFonts w:hint="default" w:ascii="宋体" w:hAnsi="宋体"/>
                <w:color w:val="auto"/>
                <w:sz w:val="21"/>
                <w:szCs w:val="21"/>
                <w:highlight w:val="none"/>
                <w:lang w:val="en-US" w:eastAsia="zh-CN"/>
              </w:rPr>
              <w:t>深圳泰利电源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2628" w:type="dxa"/>
            <w:noWrap w:val="0"/>
            <w:vAlign w:val="center"/>
          </w:tcPr>
          <w:p>
            <w:pPr>
              <w:jc w:val="center"/>
              <w:rPr>
                <w:rFonts w:ascii="宋体" w:hAnsi="宋体"/>
                <w:sz w:val="21"/>
                <w:szCs w:val="21"/>
                <w:highlight w:val="none"/>
              </w:rPr>
            </w:pPr>
            <w:r>
              <w:rPr>
                <w:rFonts w:hint="eastAsia" w:ascii="宋体" w:hAnsi="宋体"/>
                <w:color w:val="000000"/>
                <w:sz w:val="21"/>
                <w:szCs w:val="21"/>
                <w:highlight w:val="none"/>
              </w:rPr>
              <w:t>电流/电压互感器</w:t>
            </w:r>
          </w:p>
        </w:tc>
        <w:tc>
          <w:tcPr>
            <w:tcW w:w="5954" w:type="dxa"/>
            <w:noWrap w:val="0"/>
            <w:vAlign w:val="top"/>
          </w:tcPr>
          <w:p>
            <w:pPr>
              <w:widowControl/>
              <w:rPr>
                <w:rFonts w:hint="default" w:ascii="宋体" w:hAnsi="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大连一互</w:t>
            </w:r>
            <w:r>
              <w:rPr>
                <w:rFonts w:hint="eastAsia" w:ascii="宋体" w:hAnsi="宋体" w:cs="宋体"/>
                <w:b w:val="0"/>
                <w:bCs w:val="0"/>
                <w:color w:val="auto"/>
                <w:sz w:val="21"/>
                <w:szCs w:val="21"/>
                <w:lang w:val="en-US" w:eastAsia="zh-CN"/>
              </w:rPr>
              <w:t>、</w:t>
            </w:r>
            <w:r>
              <w:rPr>
                <w:rFonts w:hint="eastAsia" w:ascii="宋体" w:hAnsi="宋体" w:eastAsia="宋体" w:cs="宋体"/>
                <w:color w:val="auto"/>
                <w:kern w:val="0"/>
                <w:sz w:val="21"/>
                <w:szCs w:val="21"/>
                <w:highlight w:val="none"/>
              </w:rPr>
              <w:t>大连二互</w:t>
            </w:r>
            <w:r>
              <w:rPr>
                <w:rFonts w:hint="eastAsia" w:ascii="宋体" w:hAnsi="宋体" w:cs="宋体"/>
                <w:b w:val="0"/>
                <w:bCs w:val="0"/>
                <w:color w:val="auto"/>
                <w:sz w:val="21"/>
                <w:szCs w:val="21"/>
                <w:lang w:val="en-US" w:eastAsia="zh-CN"/>
              </w:rPr>
              <w:t>、</w:t>
            </w:r>
            <w:r>
              <w:rPr>
                <w:rFonts w:hint="eastAsia" w:ascii="宋体" w:hAnsi="宋体" w:eastAsia="宋体" w:cs="宋体"/>
                <w:color w:val="auto"/>
                <w:kern w:val="0"/>
                <w:sz w:val="21"/>
                <w:szCs w:val="21"/>
                <w:highlight w:val="none"/>
                <w:lang w:val="en-US" w:eastAsia="zh-CN"/>
              </w:rPr>
              <w:t>重庆山城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2628" w:type="dxa"/>
            <w:noWrap w:val="0"/>
            <w:vAlign w:val="center"/>
          </w:tcPr>
          <w:p>
            <w:pPr>
              <w:jc w:val="center"/>
              <w:rPr>
                <w:rFonts w:ascii="宋体" w:hAnsi="宋体"/>
                <w:sz w:val="21"/>
                <w:szCs w:val="21"/>
                <w:highlight w:val="none"/>
              </w:rPr>
            </w:pPr>
            <w:r>
              <w:rPr>
                <w:rFonts w:hint="eastAsia" w:ascii="宋体" w:hAnsi="宋体"/>
                <w:color w:val="000000"/>
                <w:sz w:val="21"/>
                <w:szCs w:val="21"/>
                <w:highlight w:val="none"/>
              </w:rPr>
              <w:t>多功能</w:t>
            </w:r>
            <w:r>
              <w:rPr>
                <w:rFonts w:hint="eastAsia" w:ascii="宋体" w:hAnsi="宋体"/>
                <w:color w:val="000000"/>
                <w:sz w:val="21"/>
                <w:szCs w:val="21"/>
                <w:highlight w:val="none"/>
                <w:lang w:val="en-US" w:eastAsia="zh-CN"/>
              </w:rPr>
              <w:t>智能</w:t>
            </w:r>
            <w:r>
              <w:rPr>
                <w:rFonts w:hint="eastAsia" w:ascii="宋体" w:hAnsi="宋体"/>
                <w:color w:val="000000"/>
                <w:sz w:val="21"/>
                <w:szCs w:val="21"/>
                <w:highlight w:val="none"/>
              </w:rPr>
              <w:t>仪表</w:t>
            </w:r>
          </w:p>
        </w:tc>
        <w:tc>
          <w:tcPr>
            <w:tcW w:w="5954" w:type="dxa"/>
            <w:noWrap w:val="0"/>
            <w:vAlign w:val="top"/>
          </w:tcPr>
          <w:p>
            <w:pP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江苏斯菲尔</w:t>
            </w:r>
            <w:r>
              <w:rPr>
                <w:rFonts w:hint="eastAsia" w:ascii="宋体" w:hAnsi="宋体" w:cs="宋体"/>
                <w:b w:val="0"/>
                <w:bCs w:val="0"/>
                <w:color w:val="auto"/>
                <w:sz w:val="21"/>
                <w:szCs w:val="21"/>
                <w:lang w:val="en-US" w:eastAsia="zh-CN"/>
              </w:rPr>
              <w:t>、深圳中电、</w:t>
            </w:r>
            <w:r>
              <w:rPr>
                <w:rFonts w:hint="eastAsia" w:ascii="宋体" w:hAnsi="宋体"/>
                <w:color w:val="auto"/>
                <w:sz w:val="21"/>
                <w:szCs w:val="21"/>
                <w:highlight w:val="none"/>
                <w:lang w:val="en-US" w:eastAsia="zh-CN"/>
              </w:rPr>
              <w:t>珠海派诺</w:t>
            </w:r>
            <w:r>
              <w:rPr>
                <w:rFonts w:hint="eastAsia" w:ascii="宋体" w:hAnsi="宋体" w:cs="宋体"/>
                <w:b w:val="0"/>
                <w:bCs w:val="0"/>
                <w:color w:val="auto"/>
                <w:sz w:val="21"/>
                <w:szCs w:val="21"/>
                <w:lang w:val="en-US" w:eastAsia="zh-CN"/>
              </w:rPr>
              <w:t>、安科瑞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628" w:type="dxa"/>
            <w:noWrap w:val="0"/>
            <w:vAlign w:val="center"/>
          </w:tcPr>
          <w:p>
            <w:pPr>
              <w:jc w:val="center"/>
              <w:rPr>
                <w:rFonts w:hint="eastAsia" w:ascii="宋体" w:hAnsi="宋体" w:eastAsia="宋体"/>
                <w:sz w:val="21"/>
                <w:szCs w:val="21"/>
                <w:highlight w:val="none"/>
                <w:lang w:val="en-US" w:eastAsia="zh-CN"/>
              </w:rPr>
            </w:pPr>
            <w:r>
              <w:rPr>
                <w:rFonts w:hint="eastAsia" w:ascii="宋体" w:hAnsi="宋体" w:cs="宋体"/>
                <w:color w:val="000000"/>
                <w:kern w:val="0"/>
                <w:sz w:val="21"/>
                <w:szCs w:val="21"/>
                <w:highlight w:val="none"/>
              </w:rPr>
              <w:t>智能操控</w:t>
            </w:r>
            <w:r>
              <w:rPr>
                <w:rFonts w:hint="eastAsia" w:ascii="宋体" w:hAnsi="宋体" w:cs="宋体"/>
                <w:color w:val="000000"/>
                <w:kern w:val="0"/>
                <w:sz w:val="21"/>
                <w:szCs w:val="21"/>
                <w:highlight w:val="none"/>
                <w:lang w:val="en-US" w:eastAsia="zh-CN"/>
              </w:rPr>
              <w:t>装置</w:t>
            </w:r>
          </w:p>
        </w:tc>
        <w:tc>
          <w:tcPr>
            <w:tcW w:w="5954" w:type="dxa"/>
            <w:noWrap w:val="0"/>
            <w:vAlign w:val="top"/>
          </w:tcPr>
          <w:p>
            <w:pPr>
              <w:rPr>
                <w:rFonts w:hint="default" w:ascii="宋体" w:hAnsi="宋体"/>
                <w:color w:val="000000"/>
                <w:sz w:val="21"/>
                <w:szCs w:val="21"/>
                <w:highlight w:val="none"/>
                <w:lang w:val="en-US" w:eastAsia="zh-CN"/>
              </w:rPr>
            </w:pPr>
            <w:r>
              <w:rPr>
                <w:rFonts w:hint="eastAsia" w:ascii="宋体" w:hAnsi="宋体"/>
                <w:color w:val="auto"/>
                <w:sz w:val="21"/>
                <w:szCs w:val="21"/>
                <w:highlight w:val="none"/>
                <w:lang w:val="en-US" w:eastAsia="zh-CN"/>
              </w:rPr>
              <w:t>珠海派诺</w:t>
            </w:r>
            <w:r>
              <w:rPr>
                <w:rFonts w:hint="eastAsia" w:ascii="宋体" w:hAnsi="宋体" w:cs="宋体"/>
                <w:b w:val="0"/>
                <w:bCs w:val="0"/>
                <w:color w:val="auto"/>
                <w:sz w:val="21"/>
                <w:szCs w:val="21"/>
                <w:lang w:val="en-US" w:eastAsia="zh-CN"/>
              </w:rPr>
              <w:t>、</w:t>
            </w:r>
            <w:r>
              <w:rPr>
                <w:rFonts w:hint="eastAsia" w:ascii="宋体" w:hAnsi="宋体"/>
                <w:color w:val="000000"/>
                <w:sz w:val="21"/>
                <w:szCs w:val="21"/>
                <w:highlight w:val="none"/>
                <w:lang w:val="en-US" w:eastAsia="zh-CN"/>
              </w:rPr>
              <w:t>上海昂顿</w:t>
            </w:r>
            <w:r>
              <w:rPr>
                <w:rFonts w:hint="eastAsia" w:ascii="宋体" w:hAnsi="宋体" w:cs="宋体"/>
                <w:b w:val="0"/>
                <w:bCs w:val="0"/>
                <w:color w:val="auto"/>
                <w:sz w:val="21"/>
                <w:szCs w:val="21"/>
                <w:lang w:val="en-US" w:eastAsia="zh-CN"/>
              </w:rPr>
              <w:t>、</w:t>
            </w:r>
            <w:r>
              <w:rPr>
                <w:rFonts w:hint="eastAsia" w:ascii="宋体" w:hAnsi="宋体"/>
                <w:color w:val="000000"/>
                <w:sz w:val="21"/>
                <w:szCs w:val="21"/>
                <w:highlight w:val="none"/>
                <w:lang w:val="en-US" w:eastAsia="zh-CN"/>
              </w:rPr>
              <w:t>深圳中电</w:t>
            </w:r>
            <w:r>
              <w:rPr>
                <w:rFonts w:hint="eastAsia" w:ascii="宋体" w:hAnsi="宋体" w:cs="宋体"/>
                <w:b w:val="0"/>
                <w:bCs w:val="0"/>
                <w:color w:val="auto"/>
                <w:sz w:val="21"/>
                <w:szCs w:val="21"/>
                <w:lang w:val="en-US" w:eastAsia="zh-CN"/>
              </w:rPr>
              <w:t>、安科瑞、杭州辉能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628" w:type="dxa"/>
            <w:noWrap w:val="0"/>
            <w:vAlign w:val="center"/>
          </w:tcPr>
          <w:p>
            <w:pPr>
              <w:jc w:val="center"/>
              <w:rPr>
                <w:rFonts w:hint="default" w:ascii="宋体" w:hAnsi="宋体" w:eastAsia="宋体" w:cs="宋体"/>
                <w:color w:val="000000"/>
                <w:kern w:val="0"/>
                <w:sz w:val="21"/>
                <w:szCs w:val="21"/>
                <w:highlight w:val="none"/>
                <w:lang w:val="en-US" w:eastAsia="zh-CN"/>
              </w:rPr>
            </w:pPr>
            <w:r>
              <w:rPr>
                <w:rFonts w:hint="eastAsia" w:ascii="宋体" w:hAnsi="宋体" w:cs="宋体"/>
                <w:color w:val="000000"/>
                <w:kern w:val="0"/>
                <w:sz w:val="21"/>
                <w:szCs w:val="21"/>
                <w:highlight w:val="none"/>
                <w:lang w:val="en-US" w:eastAsia="zh-CN"/>
              </w:rPr>
              <w:t>隔离开关</w:t>
            </w:r>
          </w:p>
        </w:tc>
        <w:tc>
          <w:tcPr>
            <w:tcW w:w="5954" w:type="dxa"/>
            <w:noWrap w:val="0"/>
            <w:vAlign w:val="top"/>
          </w:tcPr>
          <w:p>
            <w:pPr>
              <w:rPr>
                <w:rFonts w:hint="default" w:ascii="宋体" w:hAnsi="宋体" w:cs="宋体"/>
                <w:sz w:val="21"/>
                <w:szCs w:val="21"/>
                <w:highlight w:val="none"/>
                <w:lang w:val="en-US" w:eastAsia="zh-CN"/>
              </w:rPr>
            </w:pPr>
            <w:r>
              <w:rPr>
                <w:rFonts w:hint="eastAsia" w:ascii="宋体" w:hAnsi="宋体"/>
                <w:color w:val="000000"/>
                <w:sz w:val="21"/>
                <w:szCs w:val="21"/>
                <w:highlight w:val="none"/>
                <w:lang w:val="en-US" w:eastAsia="zh-CN"/>
              </w:rPr>
              <w:t>平高电气</w:t>
            </w:r>
            <w:r>
              <w:rPr>
                <w:rFonts w:hint="eastAsia" w:ascii="宋体" w:hAnsi="宋体" w:cs="宋体"/>
                <w:b w:val="0"/>
                <w:bCs w:val="0"/>
                <w:color w:val="auto"/>
                <w:sz w:val="21"/>
                <w:szCs w:val="21"/>
                <w:lang w:val="en-US" w:eastAsia="zh-CN"/>
              </w:rPr>
              <w:t>、</w:t>
            </w:r>
            <w:r>
              <w:rPr>
                <w:rFonts w:hint="eastAsia" w:ascii="宋体" w:hAnsi="宋体" w:cs="宋体"/>
                <w:sz w:val="21"/>
                <w:szCs w:val="21"/>
                <w:highlight w:val="none"/>
                <w:lang w:val="en-US" w:eastAsia="zh-CN"/>
              </w:rPr>
              <w:t>泰力</w:t>
            </w:r>
            <w:r>
              <w:rPr>
                <w:rFonts w:hint="eastAsia" w:ascii="宋体" w:hAnsi="宋体" w:cs="宋体"/>
                <w:b w:val="0"/>
                <w:bCs w:val="0"/>
                <w:color w:val="auto"/>
                <w:sz w:val="21"/>
                <w:szCs w:val="21"/>
                <w:lang w:val="en-US" w:eastAsia="zh-CN"/>
              </w:rPr>
              <w:t>、</w:t>
            </w:r>
            <w:r>
              <w:rPr>
                <w:rFonts w:hint="default" w:ascii="宋体" w:hAnsi="宋体" w:cs="宋体"/>
                <w:sz w:val="21"/>
                <w:szCs w:val="21"/>
                <w:highlight w:val="none"/>
                <w:lang w:val="en-US" w:eastAsia="zh-CN"/>
              </w:rPr>
              <w:t>重庆铭创</w:t>
            </w:r>
          </w:p>
        </w:tc>
      </w:tr>
    </w:tbl>
    <w:p>
      <w:pPr>
        <w:jc w:val="center"/>
        <w:rPr>
          <w:rFonts w:hint="eastAsia"/>
          <w:b/>
          <w:bCs/>
          <w:sz w:val="24"/>
          <w:szCs w:val="24"/>
          <w:lang w:val="en-US" w:eastAsia="zh-CN"/>
        </w:rPr>
      </w:pPr>
    </w:p>
    <w:p>
      <w:pPr>
        <w:pStyle w:val="79"/>
        <w:rPr>
          <w:rFonts w:hint="default" w:ascii="宋体" w:hAnsi="宋体" w:cs="宋体"/>
          <w:sz w:val="24"/>
          <w:lang w:val="en-US" w:eastAsia="zh-CN"/>
        </w:rPr>
      </w:pPr>
    </w:p>
    <w:p>
      <w:pPr>
        <w:pStyle w:val="3"/>
        <w:numPr>
          <w:ilvl w:val="0"/>
          <w:numId w:val="0"/>
        </w:numPr>
        <w:rPr>
          <w:rFonts w:ascii="Times New Roman" w:hAnsi="Times New Roman"/>
        </w:rPr>
      </w:pPr>
      <w:r>
        <w:rPr>
          <w:rFonts w:ascii="Times New Roman" w:hAnsi="Times New Roman"/>
        </w:rPr>
        <w:t>6.2.1 设备清单</w:t>
      </w:r>
      <w:bookmarkEnd w:id="4"/>
      <w:r>
        <w:rPr>
          <w:rFonts w:ascii="Times New Roman" w:hAnsi="Times New Roman"/>
        </w:rPr>
        <w:t>（由投标方填写）</w:t>
      </w:r>
    </w:p>
    <w:p>
      <w:pPr>
        <w:ind w:firstLine="480"/>
      </w:pPr>
    </w:p>
    <w:p>
      <w:pPr>
        <w:ind w:firstLine="480"/>
      </w:pPr>
    </w:p>
    <w:p>
      <w:pPr>
        <w:ind w:firstLine="480"/>
      </w:pPr>
    </w:p>
    <w:p>
      <w:pPr>
        <w:ind w:firstLine="0" w:firstLineChars="0"/>
        <w:jc w:val="center"/>
        <w:rPr>
          <w:b/>
        </w:rPr>
      </w:pPr>
      <w:r>
        <w:rPr>
          <w:b/>
        </w:rPr>
        <w:t>表6-1供货设备清单</w:t>
      </w:r>
    </w:p>
    <w:tbl>
      <w:tblPr>
        <w:tblStyle w:val="25"/>
        <w:tblW w:w="793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9"/>
        <w:gridCol w:w="1537"/>
        <w:gridCol w:w="1391"/>
        <w:gridCol w:w="1391"/>
        <w:gridCol w:w="1391"/>
        <w:gridCol w:w="13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829" w:type="dxa"/>
            <w:vAlign w:val="center"/>
          </w:tcPr>
          <w:p>
            <w:pPr>
              <w:adjustRightInd w:val="0"/>
              <w:spacing w:after="120" w:line="240" w:lineRule="exact"/>
              <w:ind w:right="23" w:firstLine="0" w:firstLineChars="0"/>
              <w:jc w:val="center"/>
              <w:textAlignment w:val="baseline"/>
              <w:rPr>
                <w:rFonts w:eastAsiaTheme="minorEastAsia"/>
                <w:b/>
                <w:kern w:val="52"/>
                <w:sz w:val="21"/>
              </w:rPr>
            </w:pPr>
            <w:r>
              <w:rPr>
                <w:rFonts w:eastAsiaTheme="minorEastAsia"/>
                <w:b/>
                <w:kern w:val="52"/>
                <w:sz w:val="21"/>
              </w:rPr>
              <w:t>序号</w:t>
            </w:r>
          </w:p>
        </w:tc>
        <w:tc>
          <w:tcPr>
            <w:tcW w:w="1537" w:type="dxa"/>
            <w:vAlign w:val="center"/>
          </w:tcPr>
          <w:p>
            <w:pPr>
              <w:adjustRightInd w:val="0"/>
              <w:spacing w:after="120" w:line="240" w:lineRule="exact"/>
              <w:ind w:right="23" w:firstLine="0" w:firstLineChars="0"/>
              <w:jc w:val="center"/>
              <w:textAlignment w:val="baseline"/>
              <w:rPr>
                <w:rFonts w:eastAsiaTheme="minorEastAsia"/>
                <w:b/>
                <w:kern w:val="52"/>
                <w:sz w:val="21"/>
              </w:rPr>
            </w:pPr>
            <w:r>
              <w:rPr>
                <w:rFonts w:eastAsiaTheme="minorEastAsia"/>
                <w:b/>
                <w:kern w:val="52"/>
                <w:sz w:val="21"/>
              </w:rPr>
              <w:t>设备名称</w:t>
            </w:r>
          </w:p>
        </w:tc>
        <w:tc>
          <w:tcPr>
            <w:tcW w:w="1391" w:type="dxa"/>
            <w:vAlign w:val="center"/>
          </w:tcPr>
          <w:p>
            <w:pPr>
              <w:adjustRightInd w:val="0"/>
              <w:spacing w:after="120" w:line="240" w:lineRule="exact"/>
              <w:ind w:right="23" w:firstLine="0" w:firstLineChars="0"/>
              <w:jc w:val="center"/>
              <w:textAlignment w:val="baseline"/>
              <w:rPr>
                <w:rFonts w:eastAsiaTheme="minorEastAsia"/>
                <w:b/>
                <w:kern w:val="52"/>
                <w:sz w:val="21"/>
              </w:rPr>
            </w:pPr>
            <w:r>
              <w:rPr>
                <w:rFonts w:eastAsiaTheme="minorEastAsia"/>
                <w:b/>
                <w:kern w:val="52"/>
                <w:sz w:val="21"/>
              </w:rPr>
              <w:t>规格型号</w:t>
            </w:r>
          </w:p>
        </w:tc>
        <w:tc>
          <w:tcPr>
            <w:tcW w:w="1391" w:type="dxa"/>
          </w:tcPr>
          <w:p>
            <w:pPr>
              <w:adjustRightInd w:val="0"/>
              <w:spacing w:after="120" w:line="240" w:lineRule="exact"/>
              <w:ind w:right="23" w:firstLine="0" w:firstLineChars="0"/>
              <w:jc w:val="center"/>
              <w:textAlignment w:val="baseline"/>
              <w:rPr>
                <w:rFonts w:eastAsiaTheme="minorEastAsia"/>
                <w:b/>
                <w:kern w:val="52"/>
                <w:sz w:val="21"/>
              </w:rPr>
            </w:pPr>
            <w:r>
              <w:rPr>
                <w:rFonts w:eastAsiaTheme="minorEastAsia"/>
                <w:b/>
                <w:kern w:val="52"/>
                <w:sz w:val="21"/>
              </w:rPr>
              <w:t>功率</w:t>
            </w:r>
          </w:p>
          <w:p>
            <w:pPr>
              <w:adjustRightInd w:val="0"/>
              <w:spacing w:after="120" w:line="240" w:lineRule="exact"/>
              <w:ind w:right="23" w:firstLine="0" w:firstLineChars="0"/>
              <w:jc w:val="center"/>
              <w:textAlignment w:val="baseline"/>
              <w:rPr>
                <w:rFonts w:eastAsiaTheme="minorEastAsia"/>
                <w:b/>
                <w:kern w:val="52"/>
                <w:sz w:val="21"/>
              </w:rPr>
            </w:pPr>
            <w:r>
              <w:rPr>
                <w:rFonts w:eastAsiaTheme="minorEastAsia"/>
                <w:b/>
                <w:kern w:val="52"/>
                <w:sz w:val="21"/>
              </w:rPr>
              <w:t>（kW）</w:t>
            </w:r>
          </w:p>
        </w:tc>
        <w:tc>
          <w:tcPr>
            <w:tcW w:w="1391" w:type="dxa"/>
            <w:vAlign w:val="center"/>
          </w:tcPr>
          <w:p>
            <w:pPr>
              <w:adjustRightInd w:val="0"/>
              <w:spacing w:after="120" w:line="240" w:lineRule="exact"/>
              <w:ind w:right="23" w:firstLine="0" w:firstLineChars="0"/>
              <w:jc w:val="center"/>
              <w:textAlignment w:val="baseline"/>
              <w:rPr>
                <w:rFonts w:eastAsiaTheme="minorEastAsia"/>
                <w:b/>
                <w:kern w:val="52"/>
                <w:sz w:val="21"/>
              </w:rPr>
            </w:pPr>
            <w:r>
              <w:rPr>
                <w:rFonts w:eastAsiaTheme="minorEastAsia"/>
                <w:b/>
                <w:kern w:val="52"/>
                <w:sz w:val="21"/>
              </w:rPr>
              <w:t>生产</w:t>
            </w:r>
          </w:p>
          <w:p>
            <w:pPr>
              <w:adjustRightInd w:val="0"/>
              <w:spacing w:after="120" w:line="240" w:lineRule="exact"/>
              <w:ind w:right="23" w:firstLine="0" w:firstLineChars="0"/>
              <w:jc w:val="center"/>
              <w:textAlignment w:val="baseline"/>
              <w:rPr>
                <w:rFonts w:eastAsiaTheme="minorEastAsia"/>
                <w:b/>
                <w:kern w:val="52"/>
                <w:sz w:val="21"/>
              </w:rPr>
            </w:pPr>
            <w:r>
              <w:rPr>
                <w:rFonts w:eastAsiaTheme="minorEastAsia"/>
                <w:b/>
                <w:kern w:val="52"/>
                <w:sz w:val="21"/>
              </w:rPr>
              <w:t>厂家</w:t>
            </w:r>
          </w:p>
        </w:tc>
        <w:tc>
          <w:tcPr>
            <w:tcW w:w="1391" w:type="dxa"/>
            <w:vAlign w:val="center"/>
          </w:tcPr>
          <w:p>
            <w:pPr>
              <w:adjustRightInd w:val="0"/>
              <w:spacing w:after="120" w:line="240" w:lineRule="exact"/>
              <w:ind w:right="23" w:firstLine="0" w:firstLineChars="0"/>
              <w:jc w:val="center"/>
              <w:textAlignment w:val="baseline"/>
              <w:rPr>
                <w:rFonts w:eastAsiaTheme="minorEastAsia"/>
                <w:b/>
                <w:kern w:val="52"/>
                <w:sz w:val="21"/>
              </w:rPr>
            </w:pPr>
            <w:r>
              <w:rPr>
                <w:rFonts w:eastAsiaTheme="minorEastAsia"/>
                <w:b/>
                <w:kern w:val="52"/>
                <w:sz w:val="21"/>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829" w:type="dxa"/>
            <w:vAlign w:val="center"/>
          </w:tcPr>
          <w:p>
            <w:pPr>
              <w:adjustRightInd w:val="0"/>
              <w:spacing w:after="120" w:line="240" w:lineRule="exact"/>
              <w:ind w:right="23" w:firstLine="0" w:firstLineChars="0"/>
              <w:jc w:val="center"/>
              <w:textAlignment w:val="baseline"/>
              <w:rPr>
                <w:rFonts w:eastAsiaTheme="minorEastAsia"/>
                <w:kern w:val="52"/>
                <w:sz w:val="21"/>
              </w:rPr>
            </w:pPr>
            <w:r>
              <w:rPr>
                <w:rFonts w:eastAsiaTheme="minorEastAsia"/>
                <w:kern w:val="52"/>
                <w:sz w:val="21"/>
              </w:rPr>
              <w:t>1</w:t>
            </w:r>
          </w:p>
        </w:tc>
        <w:tc>
          <w:tcPr>
            <w:tcW w:w="1537"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right="23" w:firstLine="0" w:firstLineChars="0"/>
              <w:jc w:val="center"/>
              <w:textAlignment w:val="baseline"/>
              <w:rPr>
                <w:rFonts w:eastAsiaTheme="minorEastAsia"/>
                <w:kern w:val="52"/>
                <w:sz w:val="21"/>
              </w:rPr>
            </w:pPr>
          </w:p>
        </w:tc>
        <w:tc>
          <w:tcPr>
            <w:tcW w:w="1391" w:type="dxa"/>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829" w:type="dxa"/>
            <w:vAlign w:val="center"/>
          </w:tcPr>
          <w:p>
            <w:pPr>
              <w:adjustRightInd w:val="0"/>
              <w:spacing w:after="120" w:line="240" w:lineRule="exact"/>
              <w:ind w:right="23" w:firstLine="0" w:firstLineChars="0"/>
              <w:jc w:val="center"/>
              <w:textAlignment w:val="baseline"/>
              <w:rPr>
                <w:rFonts w:eastAsiaTheme="minorEastAsia"/>
                <w:kern w:val="52"/>
                <w:sz w:val="21"/>
              </w:rPr>
            </w:pPr>
            <w:r>
              <w:rPr>
                <w:rFonts w:eastAsiaTheme="minorEastAsia"/>
                <w:kern w:val="52"/>
                <w:sz w:val="21"/>
              </w:rPr>
              <w:t>2</w:t>
            </w:r>
          </w:p>
        </w:tc>
        <w:tc>
          <w:tcPr>
            <w:tcW w:w="1537"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right="23" w:firstLine="0" w:firstLineChars="0"/>
              <w:jc w:val="center"/>
              <w:textAlignment w:val="baseline"/>
              <w:rPr>
                <w:rFonts w:eastAsiaTheme="minorEastAsia"/>
                <w:kern w:val="52"/>
                <w:sz w:val="21"/>
              </w:rPr>
            </w:pPr>
          </w:p>
        </w:tc>
        <w:tc>
          <w:tcPr>
            <w:tcW w:w="1391" w:type="dxa"/>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829" w:type="dxa"/>
            <w:vAlign w:val="center"/>
          </w:tcPr>
          <w:p>
            <w:pPr>
              <w:adjustRightInd w:val="0"/>
              <w:spacing w:after="120" w:line="240" w:lineRule="exact"/>
              <w:ind w:right="23" w:firstLine="0" w:firstLineChars="0"/>
              <w:jc w:val="center"/>
              <w:textAlignment w:val="baseline"/>
              <w:rPr>
                <w:rFonts w:eastAsiaTheme="minorEastAsia"/>
                <w:kern w:val="52"/>
                <w:sz w:val="21"/>
              </w:rPr>
            </w:pPr>
            <w:r>
              <w:rPr>
                <w:rFonts w:hint="eastAsia" w:eastAsiaTheme="minorEastAsia"/>
                <w:kern w:val="52"/>
                <w:sz w:val="21"/>
              </w:rPr>
              <w:t>3</w:t>
            </w:r>
          </w:p>
        </w:tc>
        <w:tc>
          <w:tcPr>
            <w:tcW w:w="1537"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right="23" w:firstLine="0" w:firstLineChars="0"/>
              <w:jc w:val="center"/>
              <w:textAlignment w:val="baseline"/>
              <w:rPr>
                <w:rFonts w:eastAsiaTheme="minorEastAsia"/>
                <w:kern w:val="52"/>
                <w:sz w:val="21"/>
              </w:rPr>
            </w:pPr>
          </w:p>
        </w:tc>
        <w:tc>
          <w:tcPr>
            <w:tcW w:w="1391" w:type="dxa"/>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829" w:type="dxa"/>
            <w:vAlign w:val="center"/>
          </w:tcPr>
          <w:p>
            <w:pPr>
              <w:adjustRightInd w:val="0"/>
              <w:spacing w:after="120" w:line="240" w:lineRule="exact"/>
              <w:ind w:right="23" w:firstLine="0" w:firstLineChars="0"/>
              <w:jc w:val="center"/>
              <w:textAlignment w:val="baseline"/>
              <w:rPr>
                <w:rFonts w:eastAsiaTheme="minorEastAsia"/>
                <w:kern w:val="52"/>
                <w:sz w:val="21"/>
              </w:rPr>
            </w:pPr>
            <w:r>
              <w:rPr>
                <w:rFonts w:hint="eastAsia" w:eastAsiaTheme="minorEastAsia"/>
                <w:kern w:val="52"/>
                <w:sz w:val="21"/>
              </w:rPr>
              <w:t>4</w:t>
            </w:r>
          </w:p>
        </w:tc>
        <w:tc>
          <w:tcPr>
            <w:tcW w:w="1537"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right="23" w:firstLine="0" w:firstLineChars="0"/>
              <w:jc w:val="center"/>
              <w:textAlignment w:val="baseline"/>
              <w:rPr>
                <w:rFonts w:eastAsiaTheme="minorEastAsia"/>
                <w:sz w:val="21"/>
              </w:rPr>
            </w:pPr>
          </w:p>
        </w:tc>
        <w:tc>
          <w:tcPr>
            <w:tcW w:w="1391" w:type="dxa"/>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829" w:type="dxa"/>
            <w:vAlign w:val="center"/>
          </w:tcPr>
          <w:p>
            <w:pPr>
              <w:adjustRightInd w:val="0"/>
              <w:spacing w:after="120" w:line="240" w:lineRule="exact"/>
              <w:ind w:right="23" w:firstLine="0" w:firstLineChars="0"/>
              <w:jc w:val="center"/>
              <w:textAlignment w:val="baseline"/>
              <w:rPr>
                <w:rFonts w:eastAsiaTheme="minorEastAsia"/>
                <w:kern w:val="52"/>
                <w:sz w:val="21"/>
              </w:rPr>
            </w:pPr>
            <w:r>
              <w:rPr>
                <w:rFonts w:hint="eastAsia" w:eastAsiaTheme="minorEastAsia"/>
                <w:kern w:val="52"/>
                <w:sz w:val="21"/>
              </w:rPr>
              <w:t>5</w:t>
            </w:r>
          </w:p>
        </w:tc>
        <w:tc>
          <w:tcPr>
            <w:tcW w:w="1537"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right="23" w:firstLine="0" w:firstLineChars="0"/>
              <w:jc w:val="center"/>
              <w:textAlignment w:val="baseline"/>
              <w:rPr>
                <w:rFonts w:eastAsiaTheme="minorEastAsia"/>
                <w:kern w:val="52"/>
                <w:sz w:val="21"/>
              </w:rPr>
            </w:pPr>
          </w:p>
        </w:tc>
        <w:tc>
          <w:tcPr>
            <w:tcW w:w="1391" w:type="dxa"/>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829" w:type="dxa"/>
            <w:vAlign w:val="center"/>
          </w:tcPr>
          <w:p>
            <w:pPr>
              <w:adjustRightInd w:val="0"/>
              <w:spacing w:after="120" w:line="240" w:lineRule="exact"/>
              <w:ind w:right="23" w:firstLine="0" w:firstLineChars="0"/>
              <w:jc w:val="center"/>
              <w:textAlignment w:val="baseline"/>
              <w:rPr>
                <w:rFonts w:eastAsiaTheme="minorEastAsia"/>
                <w:kern w:val="52"/>
                <w:sz w:val="21"/>
              </w:rPr>
            </w:pPr>
            <w:r>
              <w:rPr>
                <w:rFonts w:hint="eastAsia" w:eastAsiaTheme="minorEastAsia"/>
                <w:kern w:val="52"/>
                <w:sz w:val="21"/>
              </w:rPr>
              <w:t>6</w:t>
            </w:r>
          </w:p>
        </w:tc>
        <w:tc>
          <w:tcPr>
            <w:tcW w:w="1537"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right="23" w:firstLine="0" w:firstLineChars="0"/>
              <w:jc w:val="center"/>
              <w:textAlignment w:val="baseline"/>
              <w:rPr>
                <w:rFonts w:eastAsiaTheme="minorEastAsia"/>
                <w:kern w:val="52"/>
                <w:sz w:val="21"/>
              </w:rPr>
            </w:pPr>
          </w:p>
        </w:tc>
        <w:tc>
          <w:tcPr>
            <w:tcW w:w="1391" w:type="dxa"/>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829" w:type="dxa"/>
            <w:vAlign w:val="center"/>
          </w:tcPr>
          <w:p>
            <w:pPr>
              <w:adjustRightInd w:val="0"/>
              <w:spacing w:after="120" w:line="240" w:lineRule="exact"/>
              <w:ind w:right="23" w:firstLine="0" w:firstLineChars="0"/>
              <w:jc w:val="center"/>
              <w:textAlignment w:val="baseline"/>
              <w:rPr>
                <w:rFonts w:eastAsiaTheme="minorEastAsia"/>
                <w:kern w:val="52"/>
                <w:sz w:val="21"/>
              </w:rPr>
            </w:pPr>
            <w:r>
              <w:rPr>
                <w:kern w:val="52"/>
                <w:sz w:val="21"/>
              </w:rPr>
              <w:t>……</w:t>
            </w:r>
          </w:p>
        </w:tc>
        <w:tc>
          <w:tcPr>
            <w:tcW w:w="1537"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right="23" w:firstLine="0" w:firstLineChars="0"/>
              <w:jc w:val="center"/>
              <w:textAlignment w:val="baseline"/>
              <w:rPr>
                <w:rFonts w:eastAsiaTheme="minorEastAsia"/>
                <w:kern w:val="52"/>
                <w:sz w:val="21"/>
              </w:rPr>
            </w:pPr>
          </w:p>
        </w:tc>
        <w:tc>
          <w:tcPr>
            <w:tcW w:w="1391" w:type="dxa"/>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829" w:type="dxa"/>
            <w:vAlign w:val="center"/>
          </w:tcPr>
          <w:p>
            <w:pPr>
              <w:adjustRightInd w:val="0"/>
              <w:spacing w:after="120" w:line="240" w:lineRule="exact"/>
              <w:ind w:right="23" w:firstLine="0" w:firstLineChars="0"/>
              <w:jc w:val="center"/>
              <w:textAlignment w:val="baseline"/>
              <w:rPr>
                <w:rFonts w:eastAsiaTheme="minorEastAsia"/>
                <w:kern w:val="52"/>
                <w:sz w:val="21"/>
              </w:rPr>
            </w:pPr>
          </w:p>
        </w:tc>
        <w:tc>
          <w:tcPr>
            <w:tcW w:w="1537"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right="23" w:firstLine="0" w:firstLineChars="0"/>
              <w:jc w:val="center"/>
              <w:textAlignment w:val="baseline"/>
              <w:rPr>
                <w:rFonts w:eastAsiaTheme="minorEastAsia"/>
                <w:kern w:val="52"/>
                <w:sz w:val="21"/>
              </w:rPr>
            </w:pPr>
          </w:p>
        </w:tc>
        <w:tc>
          <w:tcPr>
            <w:tcW w:w="1391" w:type="dxa"/>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829" w:type="dxa"/>
            <w:vAlign w:val="center"/>
          </w:tcPr>
          <w:p>
            <w:pPr>
              <w:adjustRightInd w:val="0"/>
              <w:spacing w:after="120" w:line="240" w:lineRule="exact"/>
              <w:ind w:right="23" w:firstLine="0" w:firstLineChars="0"/>
              <w:jc w:val="center"/>
              <w:textAlignment w:val="baseline"/>
              <w:rPr>
                <w:rFonts w:eastAsiaTheme="minorEastAsia"/>
                <w:kern w:val="52"/>
                <w:sz w:val="21"/>
              </w:rPr>
            </w:pPr>
          </w:p>
        </w:tc>
        <w:tc>
          <w:tcPr>
            <w:tcW w:w="1537"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right="23" w:firstLine="0" w:firstLineChars="0"/>
              <w:jc w:val="center"/>
              <w:textAlignment w:val="baseline"/>
              <w:rPr>
                <w:rFonts w:eastAsiaTheme="minorEastAsia"/>
                <w:kern w:val="52"/>
                <w:sz w:val="21"/>
              </w:rPr>
            </w:pPr>
          </w:p>
        </w:tc>
        <w:tc>
          <w:tcPr>
            <w:tcW w:w="1391" w:type="dxa"/>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c>
          <w:tcPr>
            <w:tcW w:w="1391" w:type="dxa"/>
            <w:vAlign w:val="center"/>
          </w:tcPr>
          <w:p>
            <w:pPr>
              <w:adjustRightInd w:val="0"/>
              <w:spacing w:after="120" w:line="240" w:lineRule="exact"/>
              <w:ind w:firstLine="0" w:firstLineChars="0"/>
              <w:jc w:val="center"/>
              <w:textAlignment w:val="baseline"/>
              <w:rPr>
                <w:rFonts w:eastAsiaTheme="minorEastAsia"/>
                <w:kern w:val="52"/>
                <w:sz w:val="21"/>
              </w:rPr>
            </w:pPr>
          </w:p>
        </w:tc>
      </w:tr>
    </w:tbl>
    <w:p>
      <w:pPr>
        <w:pStyle w:val="3"/>
        <w:numPr>
          <w:ilvl w:val="0"/>
          <w:numId w:val="0"/>
        </w:numPr>
        <w:rPr>
          <w:rFonts w:ascii="Times New Roman" w:hAnsi="Times New Roman"/>
        </w:rPr>
      </w:pPr>
      <w:r>
        <w:rPr>
          <w:rFonts w:ascii="Times New Roman" w:hAnsi="Times New Roman"/>
        </w:rPr>
        <w:t>6.2</w:t>
      </w:r>
      <w:r>
        <w:rPr>
          <w:rFonts w:hint="eastAsia" w:ascii="Times New Roman" w:hAnsi="Times New Roman"/>
          <w:lang w:val="en-US" w:eastAsia="zh-CN"/>
        </w:rPr>
        <w:t>.2</w:t>
      </w:r>
      <w:r>
        <w:rPr>
          <w:rFonts w:ascii="Times New Roman" w:hAnsi="Times New Roman"/>
        </w:rPr>
        <w:t>随机备品备件清单</w:t>
      </w:r>
    </w:p>
    <w:p>
      <w:pPr>
        <w:ind w:firstLine="0" w:firstLineChars="0"/>
        <w:jc w:val="center"/>
        <w:rPr>
          <w:b/>
        </w:rPr>
      </w:pPr>
      <w:r>
        <w:rPr>
          <w:b/>
        </w:rPr>
        <w:t>表6-3供货随机备品备件清单</w:t>
      </w:r>
    </w:p>
    <w:tbl>
      <w:tblPr>
        <w:tblStyle w:val="25"/>
        <w:tblW w:w="836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1023"/>
        <w:gridCol w:w="1559"/>
        <w:gridCol w:w="1417"/>
        <w:gridCol w:w="1418"/>
        <w:gridCol w:w="1417"/>
        <w:gridCol w:w="153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06" w:hRule="atLeast"/>
          <w:jc w:val="center"/>
        </w:trPr>
        <w:tc>
          <w:tcPr>
            <w:tcW w:w="1023"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序号</w:t>
            </w:r>
          </w:p>
        </w:tc>
        <w:tc>
          <w:tcPr>
            <w:tcW w:w="1559"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名称</w:t>
            </w: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规格型号</w:t>
            </w:r>
          </w:p>
        </w:tc>
        <w:tc>
          <w:tcPr>
            <w:tcW w:w="1418"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技术参数</w:t>
            </w: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数量</w:t>
            </w:r>
          </w:p>
        </w:tc>
        <w:tc>
          <w:tcPr>
            <w:tcW w:w="1531"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生产厂家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85" w:hRule="atLeast"/>
          <w:jc w:val="center"/>
        </w:trPr>
        <w:tc>
          <w:tcPr>
            <w:tcW w:w="1023"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r>
              <w:rPr>
                <w:rFonts w:eastAsiaTheme="minorEastAsia"/>
                <w:kern w:val="52"/>
                <w:sz w:val="21"/>
              </w:rPr>
              <w:t>1</w:t>
            </w:r>
          </w:p>
        </w:tc>
        <w:tc>
          <w:tcPr>
            <w:tcW w:w="1559"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8" w:type="dxa"/>
            <w:tcMar>
              <w:top w:w="15" w:type="dxa"/>
              <w:left w:w="15" w:type="dxa"/>
              <w:bottom w:w="0" w:type="dxa"/>
              <w:right w:w="15" w:type="dxa"/>
            </w:tcMar>
            <w:vAlign w:val="center"/>
          </w:tcPr>
          <w:p>
            <w:pPr>
              <w:adjustRightInd w:val="0"/>
              <w:snapToGri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531"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85" w:hRule="atLeast"/>
          <w:jc w:val="center"/>
        </w:trPr>
        <w:tc>
          <w:tcPr>
            <w:tcW w:w="1023"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r>
              <w:rPr>
                <w:rFonts w:eastAsiaTheme="minorEastAsia"/>
                <w:kern w:val="52"/>
                <w:sz w:val="21"/>
              </w:rPr>
              <w:t>2</w:t>
            </w:r>
          </w:p>
        </w:tc>
        <w:tc>
          <w:tcPr>
            <w:tcW w:w="1559"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8" w:type="dxa"/>
            <w:tcMar>
              <w:top w:w="15" w:type="dxa"/>
              <w:left w:w="15" w:type="dxa"/>
              <w:bottom w:w="0" w:type="dxa"/>
              <w:right w:w="15" w:type="dxa"/>
            </w:tcMar>
            <w:vAlign w:val="center"/>
          </w:tcPr>
          <w:p>
            <w:pPr>
              <w:adjustRightInd w:val="0"/>
              <w:snapToGri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531"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85" w:hRule="atLeast"/>
          <w:jc w:val="center"/>
        </w:trPr>
        <w:tc>
          <w:tcPr>
            <w:tcW w:w="1023"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r>
              <w:rPr>
                <w:rFonts w:eastAsiaTheme="minorEastAsia"/>
                <w:kern w:val="52"/>
                <w:sz w:val="21"/>
              </w:rPr>
              <w:t>3</w:t>
            </w:r>
          </w:p>
        </w:tc>
        <w:tc>
          <w:tcPr>
            <w:tcW w:w="1559"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8" w:type="dxa"/>
            <w:tcMar>
              <w:top w:w="15" w:type="dxa"/>
              <w:left w:w="15" w:type="dxa"/>
              <w:bottom w:w="0" w:type="dxa"/>
              <w:right w:w="15" w:type="dxa"/>
            </w:tcMar>
            <w:vAlign w:val="center"/>
          </w:tcPr>
          <w:p>
            <w:pPr>
              <w:adjustRightInd w:val="0"/>
              <w:snapToGri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531"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385" w:hRule="atLeast"/>
          <w:jc w:val="center"/>
        </w:trPr>
        <w:tc>
          <w:tcPr>
            <w:tcW w:w="1023"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r>
              <w:rPr>
                <w:rFonts w:eastAsiaTheme="minorEastAsia"/>
                <w:kern w:val="52"/>
                <w:sz w:val="21"/>
              </w:rPr>
              <w:t>……</w:t>
            </w:r>
          </w:p>
        </w:tc>
        <w:tc>
          <w:tcPr>
            <w:tcW w:w="1559"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8"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531"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r>
    </w:tbl>
    <w:p>
      <w:pPr>
        <w:pStyle w:val="3"/>
        <w:numPr>
          <w:ilvl w:val="0"/>
          <w:numId w:val="0"/>
        </w:numPr>
        <w:rPr>
          <w:rFonts w:hint="default" w:ascii="Times New Roman" w:hAnsi="Times New Roman" w:eastAsia="宋体"/>
          <w:lang w:val="en-US" w:eastAsia="zh-CN"/>
        </w:rPr>
      </w:pPr>
      <w:r>
        <w:rPr>
          <w:rFonts w:ascii="Times New Roman" w:hAnsi="Times New Roman"/>
        </w:rPr>
        <w:t>6.2.4一年备品备件清单</w:t>
      </w:r>
      <w:r>
        <w:rPr>
          <w:rFonts w:hint="eastAsia" w:ascii="Times New Roman" w:hAnsi="Times New Roman"/>
          <w:lang w:val="en-US" w:eastAsia="zh-CN"/>
        </w:rPr>
        <w:t>(如有）</w:t>
      </w:r>
    </w:p>
    <w:p>
      <w:pPr>
        <w:ind w:firstLine="480"/>
      </w:pPr>
    </w:p>
    <w:p>
      <w:pPr>
        <w:ind w:firstLine="0" w:firstLineChars="0"/>
        <w:jc w:val="center"/>
        <w:rPr>
          <w:b/>
        </w:rPr>
      </w:pPr>
      <w:r>
        <w:rPr>
          <w:b/>
        </w:rPr>
        <w:t>表6-4供货一年备品备件清单</w:t>
      </w:r>
    </w:p>
    <w:tbl>
      <w:tblPr>
        <w:tblStyle w:val="25"/>
        <w:tblW w:w="85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1132"/>
        <w:gridCol w:w="1559"/>
        <w:gridCol w:w="1417"/>
        <w:gridCol w:w="1418"/>
        <w:gridCol w:w="1417"/>
        <w:gridCol w:w="164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37" w:hRule="atLeast"/>
          <w:jc w:val="center"/>
        </w:trPr>
        <w:tc>
          <w:tcPr>
            <w:tcW w:w="1132"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序号</w:t>
            </w:r>
          </w:p>
        </w:tc>
        <w:tc>
          <w:tcPr>
            <w:tcW w:w="1559"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名称</w:t>
            </w: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规格型号</w:t>
            </w:r>
          </w:p>
        </w:tc>
        <w:tc>
          <w:tcPr>
            <w:tcW w:w="1418"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技术参数</w:t>
            </w: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数量</w:t>
            </w:r>
          </w:p>
        </w:tc>
        <w:tc>
          <w:tcPr>
            <w:tcW w:w="1641"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b/>
                <w:kern w:val="52"/>
                <w:sz w:val="21"/>
              </w:rPr>
            </w:pPr>
            <w:r>
              <w:rPr>
                <w:rFonts w:eastAsiaTheme="minorEastAsia"/>
                <w:b/>
                <w:kern w:val="52"/>
                <w:sz w:val="21"/>
              </w:rPr>
              <w:t>生产厂家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14" w:hRule="atLeast"/>
          <w:jc w:val="center"/>
        </w:trPr>
        <w:tc>
          <w:tcPr>
            <w:tcW w:w="1132"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r>
              <w:rPr>
                <w:rFonts w:eastAsiaTheme="minorEastAsia"/>
                <w:kern w:val="52"/>
                <w:sz w:val="21"/>
              </w:rPr>
              <w:t>1</w:t>
            </w:r>
          </w:p>
        </w:tc>
        <w:tc>
          <w:tcPr>
            <w:tcW w:w="1559"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8" w:type="dxa"/>
            <w:tcMar>
              <w:top w:w="15" w:type="dxa"/>
              <w:left w:w="15" w:type="dxa"/>
              <w:bottom w:w="0" w:type="dxa"/>
              <w:right w:w="15" w:type="dxa"/>
            </w:tcMar>
            <w:vAlign w:val="center"/>
          </w:tcPr>
          <w:p>
            <w:pPr>
              <w:adjustRightInd w:val="0"/>
              <w:snapToGri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641"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14" w:hRule="atLeast"/>
          <w:jc w:val="center"/>
        </w:trPr>
        <w:tc>
          <w:tcPr>
            <w:tcW w:w="1132"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r>
              <w:rPr>
                <w:rFonts w:eastAsiaTheme="minorEastAsia"/>
                <w:kern w:val="52"/>
                <w:sz w:val="21"/>
              </w:rPr>
              <w:t>2</w:t>
            </w:r>
          </w:p>
        </w:tc>
        <w:tc>
          <w:tcPr>
            <w:tcW w:w="1559"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8" w:type="dxa"/>
            <w:tcMar>
              <w:top w:w="15" w:type="dxa"/>
              <w:left w:w="15" w:type="dxa"/>
              <w:bottom w:w="0" w:type="dxa"/>
              <w:right w:w="15" w:type="dxa"/>
            </w:tcMar>
            <w:vAlign w:val="center"/>
          </w:tcPr>
          <w:p>
            <w:pPr>
              <w:adjustRightInd w:val="0"/>
              <w:snapToGri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641"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14" w:hRule="atLeast"/>
          <w:jc w:val="center"/>
        </w:trPr>
        <w:tc>
          <w:tcPr>
            <w:tcW w:w="1132"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r>
              <w:rPr>
                <w:rFonts w:eastAsiaTheme="minorEastAsia"/>
                <w:kern w:val="52"/>
                <w:sz w:val="21"/>
              </w:rPr>
              <w:t>3</w:t>
            </w:r>
          </w:p>
        </w:tc>
        <w:tc>
          <w:tcPr>
            <w:tcW w:w="1559"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8" w:type="dxa"/>
            <w:tcMar>
              <w:top w:w="15" w:type="dxa"/>
              <w:left w:w="15" w:type="dxa"/>
              <w:bottom w:w="0" w:type="dxa"/>
              <w:right w:w="15" w:type="dxa"/>
            </w:tcMar>
            <w:vAlign w:val="center"/>
          </w:tcPr>
          <w:p>
            <w:pPr>
              <w:adjustRightInd w:val="0"/>
              <w:snapToGri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641"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14" w:hRule="atLeast"/>
          <w:jc w:val="center"/>
        </w:trPr>
        <w:tc>
          <w:tcPr>
            <w:tcW w:w="1132"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r>
              <w:rPr>
                <w:rFonts w:eastAsiaTheme="minorEastAsia"/>
                <w:kern w:val="52"/>
                <w:sz w:val="21"/>
              </w:rPr>
              <w:t>……</w:t>
            </w:r>
          </w:p>
        </w:tc>
        <w:tc>
          <w:tcPr>
            <w:tcW w:w="1559"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8"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417"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c>
          <w:tcPr>
            <w:tcW w:w="1641" w:type="dxa"/>
            <w:tcMar>
              <w:top w:w="15" w:type="dxa"/>
              <w:left w:w="15" w:type="dxa"/>
              <w:bottom w:w="0" w:type="dxa"/>
              <w:right w:w="15" w:type="dxa"/>
            </w:tcMar>
            <w:vAlign w:val="center"/>
          </w:tcPr>
          <w:p>
            <w:pPr>
              <w:adjustRightInd w:val="0"/>
              <w:spacing w:line="360" w:lineRule="exact"/>
              <w:ind w:firstLine="0" w:firstLineChars="0"/>
              <w:jc w:val="center"/>
              <w:textAlignment w:val="baseline"/>
              <w:rPr>
                <w:rFonts w:eastAsiaTheme="minorEastAsia"/>
                <w:kern w:val="52"/>
                <w:sz w:val="21"/>
              </w:rPr>
            </w:pPr>
          </w:p>
        </w:tc>
      </w:tr>
    </w:tbl>
    <w:p>
      <w:pPr>
        <w:pStyle w:val="2"/>
      </w:pPr>
      <w:bookmarkStart w:id="16" w:name="_Toc13408"/>
      <w:bookmarkStart w:id="17" w:name="_Toc2702"/>
      <w:r>
        <w:t>7．设备防腐及外观、包装及运输</w:t>
      </w:r>
      <w:bookmarkEnd w:id="16"/>
      <w:bookmarkEnd w:id="17"/>
    </w:p>
    <w:p>
      <w:pPr>
        <w:pStyle w:val="3"/>
        <w:numPr>
          <w:ilvl w:val="0"/>
          <w:numId w:val="0"/>
        </w:numPr>
        <w:rPr>
          <w:rFonts w:ascii="Times New Roman" w:hAnsi="Times New Roman"/>
        </w:rPr>
      </w:pPr>
      <w:r>
        <w:rPr>
          <w:rFonts w:ascii="Times New Roman" w:hAnsi="Times New Roman"/>
        </w:rPr>
        <w:t>7.1表面处理</w:t>
      </w:r>
    </w:p>
    <w:p>
      <w:pPr>
        <w:numPr>
          <w:ilvl w:val="0"/>
          <w:numId w:val="14"/>
        </w:numPr>
        <w:ind w:firstLineChars="0"/>
      </w:pPr>
      <w:r>
        <w:t>外观标准（刷漆颜色、品质等）要符合标准要求，并符合招标方要求，实施过程中确定涂装颜色。</w:t>
      </w:r>
    </w:p>
    <w:p>
      <w:pPr>
        <w:pStyle w:val="3"/>
        <w:numPr>
          <w:ilvl w:val="0"/>
          <w:numId w:val="0"/>
        </w:numPr>
        <w:rPr>
          <w:rFonts w:ascii="Times New Roman" w:hAnsi="Times New Roman"/>
        </w:rPr>
      </w:pPr>
      <w:r>
        <w:rPr>
          <w:rFonts w:ascii="Times New Roman" w:hAnsi="Times New Roman"/>
        </w:rPr>
        <w:t>7.2包装及运输</w:t>
      </w:r>
    </w:p>
    <w:p>
      <w:pPr>
        <w:pStyle w:val="3"/>
        <w:numPr>
          <w:ilvl w:val="0"/>
          <w:numId w:val="0"/>
        </w:numPr>
        <w:rPr>
          <w:rFonts w:ascii="Times New Roman" w:hAnsi="Times New Roman"/>
        </w:rPr>
      </w:pPr>
      <w:r>
        <w:rPr>
          <w:rFonts w:ascii="Times New Roman" w:hAnsi="Times New Roman"/>
        </w:rPr>
        <w:t>7.2.1包装</w:t>
      </w:r>
    </w:p>
    <w:p>
      <w:pPr>
        <w:ind w:firstLine="480"/>
      </w:pPr>
      <w:r>
        <w:t>包装应符合JB/T6444-2004，运输过程中要</w:t>
      </w:r>
      <w:r>
        <w:rPr>
          <w:rFonts w:hint="eastAsia"/>
        </w:rPr>
        <w:t>将</w:t>
      </w:r>
      <w:r>
        <w:t>设备固定好，保证运输过程设备无移动。</w:t>
      </w:r>
    </w:p>
    <w:p>
      <w:pPr>
        <w:widowControl/>
        <w:ind w:firstLine="480"/>
        <w:rPr>
          <w:szCs w:val="24"/>
        </w:rPr>
      </w:pPr>
      <w:r>
        <w:rPr>
          <w:szCs w:val="24"/>
        </w:rPr>
        <w:t>设备的包装应采取防雨、防潮、防锈、防震等措施，以避免在运输过程中由于振动和碰撞引起轴承等部件的损坏。</w:t>
      </w:r>
    </w:p>
    <w:p>
      <w:pPr>
        <w:widowControl/>
        <w:ind w:firstLine="480"/>
        <w:rPr>
          <w:szCs w:val="24"/>
        </w:rPr>
      </w:pPr>
      <w:r>
        <w:rPr>
          <w:szCs w:val="24"/>
        </w:rPr>
        <w:t>遮盖物、金属带子或紧扣件采用螺钉或铆钉应有效固定。</w:t>
      </w:r>
    </w:p>
    <w:p>
      <w:pPr>
        <w:widowControl/>
        <w:ind w:firstLine="480"/>
        <w:rPr>
          <w:szCs w:val="24"/>
        </w:rPr>
      </w:pPr>
      <w:r>
        <w:rPr>
          <w:szCs w:val="24"/>
        </w:rPr>
        <w:t>包装箱设计考虑设备的支撑与固定，所有松散部件另用小箱封好装箱。</w:t>
      </w:r>
    </w:p>
    <w:p>
      <w:pPr>
        <w:widowControl/>
        <w:ind w:firstLine="480"/>
        <w:rPr>
          <w:szCs w:val="24"/>
        </w:rPr>
      </w:pPr>
      <w:r>
        <w:rPr>
          <w:szCs w:val="24"/>
        </w:rPr>
        <w:t>每箱设备均需附有与箱件相符合的装箱单。</w:t>
      </w:r>
    </w:p>
    <w:p>
      <w:pPr>
        <w:ind w:firstLine="480"/>
        <w:rPr>
          <w:szCs w:val="24"/>
        </w:rPr>
      </w:pPr>
      <w:r>
        <w:rPr>
          <w:szCs w:val="24"/>
        </w:rPr>
        <w:t>设备附件应采取防潮、防锈等措施。</w:t>
      </w:r>
    </w:p>
    <w:p>
      <w:pPr>
        <w:pStyle w:val="3"/>
        <w:numPr>
          <w:ilvl w:val="0"/>
          <w:numId w:val="0"/>
        </w:numPr>
        <w:rPr>
          <w:rFonts w:ascii="Times New Roman" w:hAnsi="Times New Roman"/>
        </w:rPr>
      </w:pPr>
      <w:r>
        <w:rPr>
          <w:rFonts w:ascii="Times New Roman" w:hAnsi="Times New Roman"/>
        </w:rPr>
        <w:t>7.2.2运输</w:t>
      </w:r>
    </w:p>
    <w:p>
      <w:pPr>
        <w:widowControl/>
        <w:ind w:firstLine="480"/>
        <w:rPr>
          <w:rFonts w:hint="eastAsia" w:eastAsia="宋体"/>
          <w:szCs w:val="24"/>
          <w:lang w:eastAsia="zh-CN"/>
        </w:rPr>
      </w:pPr>
      <w:r>
        <w:rPr>
          <w:szCs w:val="24"/>
        </w:rPr>
        <w:t>运输方式：汽运到施工现场</w:t>
      </w:r>
      <w:r>
        <w:rPr>
          <w:rFonts w:hint="eastAsia"/>
          <w:szCs w:val="24"/>
          <w:lang w:eastAsia="zh-CN"/>
        </w:rPr>
        <w:t>。</w:t>
      </w:r>
    </w:p>
    <w:p>
      <w:pPr>
        <w:widowControl/>
        <w:ind w:firstLine="480"/>
        <w:rPr>
          <w:szCs w:val="24"/>
        </w:rPr>
      </w:pPr>
      <w:r>
        <w:rPr>
          <w:szCs w:val="24"/>
        </w:rPr>
        <w:t>包装箱件符合运输作业的规定。</w:t>
      </w:r>
    </w:p>
    <w:p>
      <w:pPr>
        <w:widowControl/>
        <w:ind w:firstLine="480"/>
        <w:rPr>
          <w:szCs w:val="24"/>
        </w:rPr>
      </w:pPr>
      <w:r>
        <w:rPr>
          <w:szCs w:val="24"/>
        </w:rPr>
        <w:t>包装箱上设有以下标志：</w:t>
      </w:r>
    </w:p>
    <w:p>
      <w:pPr>
        <w:widowControl/>
        <w:ind w:firstLine="480"/>
        <w:rPr>
          <w:szCs w:val="24"/>
        </w:rPr>
      </w:pPr>
      <w:r>
        <w:rPr>
          <w:szCs w:val="24"/>
        </w:rPr>
        <w:t>运输作业标志（包括防潮、防震、放置位置方向、重心位置、绳索固定部位等）。</w:t>
      </w:r>
    </w:p>
    <w:p>
      <w:pPr>
        <w:widowControl/>
        <w:ind w:firstLine="480"/>
        <w:rPr>
          <w:szCs w:val="24"/>
        </w:rPr>
      </w:pPr>
      <w:r>
        <w:rPr>
          <w:szCs w:val="24"/>
        </w:rPr>
        <w:t>发货标志：出厂编号、箱号、发货站、到货站，体积（长宽高），设备名称，毛重（公斤），发货单位，收货单位。</w:t>
      </w:r>
    </w:p>
    <w:p>
      <w:pPr>
        <w:widowControl/>
        <w:ind w:firstLine="480"/>
        <w:rPr>
          <w:szCs w:val="24"/>
        </w:rPr>
      </w:pPr>
      <w:r>
        <w:rPr>
          <w:szCs w:val="24"/>
        </w:rPr>
        <w:t>电器控制柜在装卸和运输过程中，不应有严重冲击和振动。</w:t>
      </w:r>
    </w:p>
    <w:p>
      <w:pPr>
        <w:ind w:firstLine="480"/>
      </w:pPr>
      <w:r>
        <w:t>必须了解道路及其沿途桥梁、涵洞、沟道等的结构、宽度、坡度、倾斜度、转角及承重情况，必要时应采取措施。</w:t>
      </w:r>
    </w:p>
    <w:p>
      <w:pPr>
        <w:pStyle w:val="2"/>
        <w:numPr>
          <w:ilvl w:val="0"/>
          <w:numId w:val="15"/>
        </w:numPr>
      </w:pPr>
      <w:bookmarkStart w:id="18" w:name="_Toc22625"/>
      <w:bookmarkStart w:id="19" w:name="_Toc4440"/>
      <w:r>
        <w:t>检验和监造</w:t>
      </w:r>
      <w:bookmarkEnd w:id="18"/>
      <w:bookmarkEnd w:id="19"/>
    </w:p>
    <w:p>
      <w:pPr>
        <w:pStyle w:val="3"/>
        <w:numPr>
          <w:ilvl w:val="0"/>
          <w:numId w:val="0"/>
        </w:numPr>
        <w:rPr>
          <w:rFonts w:ascii="Times New Roman" w:hAnsi="Times New Roman"/>
        </w:rPr>
      </w:pPr>
      <w:r>
        <w:rPr>
          <w:rFonts w:ascii="Times New Roman" w:hAnsi="Times New Roman"/>
        </w:rPr>
        <w:t>8.1检验</w:t>
      </w:r>
    </w:p>
    <w:p>
      <w:pPr>
        <w:widowControl/>
        <w:ind w:firstLine="480"/>
        <w:rPr>
          <w:szCs w:val="24"/>
        </w:rPr>
      </w:pPr>
      <w:r>
        <w:rPr>
          <w:szCs w:val="24"/>
        </w:rPr>
        <w:t>产品的设计制造和试验验证将遵照有关标准和规范，并满足招标文件的要求。</w:t>
      </w:r>
    </w:p>
    <w:p>
      <w:pPr>
        <w:widowControl/>
        <w:ind w:firstLine="480"/>
        <w:rPr>
          <w:szCs w:val="24"/>
        </w:rPr>
      </w:pPr>
      <w:r>
        <w:rPr>
          <w:szCs w:val="24"/>
        </w:rPr>
        <w:t>经工厂试验验收后的产品，投标方仍然保证现场试验验收达到要求的性能和可靠性；对于工厂的检查验收，不认为是解除制造厂所负的责任。</w:t>
      </w:r>
    </w:p>
    <w:p>
      <w:pPr>
        <w:widowControl/>
        <w:ind w:firstLine="480"/>
        <w:rPr>
          <w:szCs w:val="24"/>
        </w:rPr>
      </w:pPr>
      <w:r>
        <w:rPr>
          <w:szCs w:val="24"/>
        </w:rPr>
        <w:t>投标方须向招标方提供全部材料证明书和工厂试验数据。一些重要的检查和试验项目，招标方有派代表参加的权利，投标方必须在试验前规定的时间通知招标方代表参加。</w:t>
      </w:r>
    </w:p>
    <w:p>
      <w:pPr>
        <w:widowControl/>
        <w:ind w:firstLine="480"/>
        <w:rPr>
          <w:szCs w:val="24"/>
        </w:rPr>
      </w:pPr>
      <w:r>
        <w:rPr>
          <w:szCs w:val="24"/>
        </w:rPr>
        <w:t>投标方须保证所提供的设备满足现场安全、可靠运行的要求，并对设备的设计、制造、供货、装箱、发运、现场调试等全过程全面负责。</w:t>
      </w:r>
    </w:p>
    <w:p>
      <w:pPr>
        <w:widowControl/>
        <w:ind w:firstLine="480"/>
        <w:rPr>
          <w:szCs w:val="24"/>
        </w:rPr>
      </w:pPr>
      <w:r>
        <w:rPr>
          <w:szCs w:val="24"/>
        </w:rPr>
        <w:t>投标方对质保期内因质量原因导致的产品损坏实行无偿的修复和零件配制，直至产品更换。</w:t>
      </w:r>
    </w:p>
    <w:p>
      <w:pPr>
        <w:ind w:firstLine="480"/>
        <w:rPr>
          <w:szCs w:val="24"/>
        </w:rPr>
      </w:pPr>
      <w:r>
        <w:rPr>
          <w:szCs w:val="24"/>
        </w:rPr>
        <w:t>质保期后</w:t>
      </w:r>
      <w:r>
        <w:rPr>
          <w:rFonts w:hint="eastAsia"/>
          <w:szCs w:val="24"/>
        </w:rPr>
        <w:t>投标方</w:t>
      </w:r>
      <w:r>
        <w:rPr>
          <w:szCs w:val="24"/>
        </w:rPr>
        <w:t>满足招标方对产品的技术咨询（无偿）和零件的供给（有偿）。</w:t>
      </w:r>
    </w:p>
    <w:p>
      <w:pPr>
        <w:pStyle w:val="3"/>
        <w:numPr>
          <w:ilvl w:val="0"/>
          <w:numId w:val="0"/>
        </w:numPr>
        <w:rPr>
          <w:rFonts w:ascii="Times New Roman" w:hAnsi="Times New Roman"/>
        </w:rPr>
      </w:pPr>
      <w:r>
        <w:rPr>
          <w:rFonts w:ascii="Times New Roman" w:hAnsi="Times New Roman"/>
        </w:rPr>
        <w:t>8.2监造</w:t>
      </w:r>
    </w:p>
    <w:p>
      <w:pPr>
        <w:widowControl/>
        <w:ind w:firstLine="480"/>
        <w:rPr>
          <w:szCs w:val="24"/>
        </w:rPr>
      </w:pPr>
      <w:r>
        <w:rPr>
          <w:szCs w:val="24"/>
        </w:rPr>
        <w:t>招标方有权在合同设备制造过程中派驻厂代表，在招标方统一组织下进行监造和出厂前检验，了解设备的组装、检验、试验和设备包装质量情况。</w:t>
      </w:r>
      <w:r>
        <w:rPr>
          <w:rFonts w:hint="eastAsia"/>
          <w:szCs w:val="24"/>
        </w:rPr>
        <w:t>投标方应</w:t>
      </w:r>
      <w:r>
        <w:rPr>
          <w:szCs w:val="24"/>
        </w:rPr>
        <w:t>积极配合，并提供相应技术资料，且不由此发生任何费用。</w:t>
      </w:r>
    </w:p>
    <w:p>
      <w:pPr>
        <w:widowControl/>
        <w:ind w:firstLine="480"/>
        <w:rPr>
          <w:szCs w:val="24"/>
        </w:rPr>
      </w:pPr>
      <w:r>
        <w:rPr>
          <w:rFonts w:hint="eastAsia"/>
        </w:rPr>
        <w:t>合同设备投料时提供整套设备的生产计划，每一个月度实际生产进度和月度检验计划。</w:t>
      </w:r>
    </w:p>
    <w:p>
      <w:pPr>
        <w:widowControl/>
        <w:ind w:firstLine="480"/>
        <w:rPr>
          <w:szCs w:val="24"/>
        </w:rPr>
      </w:pPr>
      <w:r>
        <w:rPr>
          <w:szCs w:val="24"/>
        </w:rPr>
        <w:t>投标方须提前7天将设备监造项目及检验时间通知招标方。</w:t>
      </w:r>
    </w:p>
    <w:p>
      <w:pPr>
        <w:widowControl/>
        <w:ind w:firstLine="480"/>
        <w:rPr>
          <w:szCs w:val="24"/>
        </w:rPr>
      </w:pPr>
      <w:r>
        <w:rPr>
          <w:szCs w:val="24"/>
        </w:rPr>
        <w:t>招标方代表有权通过投标方有关部门查（借）阅投标方与本合同设备有关的标准（包括工厂标准）、图纸、资料、工艺及实际工艺过程和检验记录（包括中间检验记录或不一致性报告），对于检验记录，如招标方认为需要复印存档，投标方须为提供一切方便，并将向招标方代表提供工作、生活方便。</w:t>
      </w:r>
    </w:p>
    <w:p>
      <w:pPr>
        <w:widowControl/>
        <w:ind w:firstLine="480"/>
        <w:rPr>
          <w:szCs w:val="24"/>
        </w:rPr>
      </w:pPr>
      <w:r>
        <w:rPr>
          <w:rFonts w:hint="eastAsia"/>
        </w:rPr>
        <w:t>包括文件见证、现场见证和停工待检，即R点、W点、H点（一般为现场见证）一般不得影响工厂的正常生产进度（不包括发现重大问题时的停工检验），应尽量结合投标方工厂实际生产过程。</w:t>
      </w:r>
    </w:p>
    <w:p>
      <w:pPr>
        <w:widowControl/>
        <w:ind w:firstLine="480"/>
        <w:rPr>
          <w:szCs w:val="24"/>
        </w:rPr>
      </w:pPr>
      <w:r>
        <w:rPr>
          <w:szCs w:val="24"/>
        </w:rPr>
        <w:t>招标方代表如不能到场，投标方的工厂试验工作将正常进行，试验结果有效，但是招标方代表有权了解和检查试验报告和结果。</w:t>
      </w:r>
    </w:p>
    <w:p>
      <w:pPr>
        <w:widowControl/>
        <w:ind w:firstLine="480"/>
        <w:rPr>
          <w:szCs w:val="24"/>
        </w:rPr>
      </w:pPr>
      <w:r>
        <w:rPr>
          <w:szCs w:val="24"/>
        </w:rPr>
        <w:t>招标方代表在监造过程中如发现设备和材料缺陷或不符合规定的标准要求时，招标方代表有权提出意见，投标方须采取相应改进措施，以保证交货质量。无论招标方是否要求和是否知道，投标方须主动及时地向招标方提供合同设备制造过程中出现的较大质量缺陷和问题，在招标方不知道的情况下，投标方不得擅自处理。</w:t>
      </w:r>
    </w:p>
    <w:p>
      <w:pPr>
        <w:widowControl/>
        <w:ind w:firstLine="480"/>
        <w:rPr>
          <w:szCs w:val="24"/>
        </w:rPr>
      </w:pPr>
      <w:r>
        <w:rPr>
          <w:rFonts w:hint="eastAsia"/>
        </w:rPr>
        <w:t>若投标方未及时通知</w:t>
      </w:r>
      <w:r>
        <w:rPr>
          <w:rFonts w:hint="eastAsia"/>
          <w:szCs w:val="24"/>
        </w:rPr>
        <w:t>招标方</w:t>
      </w:r>
      <w:r>
        <w:rPr>
          <w:rFonts w:hint="eastAsia"/>
        </w:rPr>
        <w:t>代表而单独检验</w:t>
      </w:r>
      <w:r>
        <w:t>，</w:t>
      </w:r>
      <w:r>
        <w:rPr>
          <w:rFonts w:hint="eastAsia"/>
          <w:szCs w:val="24"/>
        </w:rPr>
        <w:t>招标方</w:t>
      </w:r>
      <w:r>
        <w:rPr>
          <w:rFonts w:hint="eastAsia"/>
        </w:rPr>
        <w:t>将不承认该检验结果</w:t>
      </w:r>
      <w:r>
        <w:t>，</w:t>
      </w:r>
      <w:r>
        <w:rPr>
          <w:rFonts w:hint="eastAsia"/>
          <w:szCs w:val="24"/>
        </w:rPr>
        <w:t>投标方</w:t>
      </w:r>
      <w:r>
        <w:rPr>
          <w:rFonts w:hint="eastAsia"/>
        </w:rPr>
        <w:t>应在招标方代表在场的情况下重新进行该项试验。</w:t>
      </w:r>
      <w:r>
        <w:rPr>
          <w:szCs w:val="24"/>
        </w:rPr>
        <w:t>无论招标方人员是否参与监造及出厂检验，均不视为投标方按合同规定的应承担的质量保证责任的解除，也不免除投标方对设备质量应负的责任。</w:t>
      </w:r>
    </w:p>
    <w:p>
      <w:pPr>
        <w:ind w:firstLine="480"/>
        <w:rPr>
          <w:szCs w:val="24"/>
        </w:rPr>
      </w:pPr>
      <w:r>
        <w:rPr>
          <w:szCs w:val="24"/>
        </w:rPr>
        <w:t>投标方供应的所有合同设备部件出厂时，都将附有产品质量合格证书作为交货的质量证明文件。</w:t>
      </w:r>
    </w:p>
    <w:p>
      <w:pPr>
        <w:pStyle w:val="2"/>
        <w:numPr>
          <w:ilvl w:val="0"/>
          <w:numId w:val="15"/>
        </w:numPr>
      </w:pPr>
      <w:bookmarkStart w:id="20" w:name="_Toc75789294"/>
      <w:bookmarkStart w:id="21" w:name="_Toc23593"/>
      <w:bookmarkStart w:id="22" w:name="_Toc12501"/>
      <w:r>
        <w:t>安装调试</w:t>
      </w:r>
      <w:bookmarkEnd w:id="20"/>
      <w:bookmarkEnd w:id="21"/>
      <w:bookmarkEnd w:id="22"/>
    </w:p>
    <w:p>
      <w:pPr>
        <w:numPr>
          <w:ilvl w:val="0"/>
          <w:numId w:val="16"/>
        </w:numPr>
        <w:ind w:firstLineChars="0"/>
        <w:rPr>
          <w:szCs w:val="24"/>
        </w:rPr>
      </w:pPr>
      <w:r>
        <w:rPr>
          <w:rFonts w:hint="eastAsia"/>
          <w:color w:val="000000"/>
        </w:rPr>
        <w:t>投标方</w:t>
      </w:r>
      <w:r>
        <w:rPr>
          <w:color w:val="000000"/>
        </w:rPr>
        <w:t>负责指导设备的安装，</w:t>
      </w:r>
      <w:r>
        <w:rPr>
          <w:rFonts w:hint="eastAsia"/>
          <w:color w:val="000000"/>
        </w:rPr>
        <w:t>招标方</w:t>
      </w:r>
      <w:r>
        <w:rPr>
          <w:color w:val="000000"/>
        </w:rPr>
        <w:t>提供基础建设和现场的</w:t>
      </w:r>
      <w:r>
        <w:rPr>
          <w:rFonts w:hint="eastAsia"/>
          <w:color w:val="000000"/>
        </w:rPr>
        <w:t>安装</w:t>
      </w:r>
      <w:r>
        <w:rPr>
          <w:color w:val="000000"/>
        </w:rPr>
        <w:t>工作</w:t>
      </w:r>
      <w:r>
        <w:rPr>
          <w:rFonts w:hint="eastAsia"/>
          <w:color w:val="000000"/>
        </w:rPr>
        <w:t>。</w:t>
      </w:r>
    </w:p>
    <w:p>
      <w:pPr>
        <w:numPr>
          <w:ilvl w:val="0"/>
          <w:numId w:val="16"/>
        </w:numPr>
        <w:ind w:firstLineChars="0"/>
        <w:rPr>
          <w:szCs w:val="24"/>
        </w:rPr>
      </w:pPr>
      <w:r>
        <w:rPr>
          <w:rFonts w:hint="eastAsia"/>
          <w:lang w:val="en-US" w:eastAsia="zh-CN"/>
        </w:rPr>
        <w:t>高压柜</w:t>
      </w:r>
      <w:r>
        <w:rPr>
          <w:color w:val="000000"/>
        </w:rPr>
        <w:t>的调试由</w:t>
      </w:r>
      <w:r>
        <w:rPr>
          <w:rFonts w:hint="eastAsia"/>
          <w:color w:val="000000"/>
        </w:rPr>
        <w:t>投标方</w:t>
      </w:r>
      <w:r>
        <w:rPr>
          <w:color w:val="000000"/>
        </w:rPr>
        <w:t>负责，</w:t>
      </w:r>
      <w:r>
        <w:rPr>
          <w:rFonts w:hint="eastAsia"/>
          <w:color w:val="000000"/>
        </w:rPr>
        <w:t>招标方</w:t>
      </w:r>
      <w:r>
        <w:rPr>
          <w:color w:val="000000"/>
        </w:rPr>
        <w:t>配合</w:t>
      </w:r>
      <w:r>
        <w:rPr>
          <w:rFonts w:hint="eastAsia"/>
          <w:color w:val="000000"/>
        </w:rPr>
        <w:t>投标方</w:t>
      </w:r>
      <w:r>
        <w:rPr>
          <w:color w:val="000000"/>
        </w:rPr>
        <w:t>对设备进行调试。</w:t>
      </w:r>
    </w:p>
    <w:p>
      <w:pPr>
        <w:pStyle w:val="2"/>
        <w:numPr>
          <w:ilvl w:val="0"/>
          <w:numId w:val="15"/>
        </w:numPr>
      </w:pPr>
      <w:bookmarkStart w:id="23" w:name="_Toc32671"/>
      <w:bookmarkStart w:id="24" w:name="_Toc28886"/>
      <w:r>
        <w:t>性能验收</w:t>
      </w:r>
      <w:bookmarkEnd w:id="23"/>
      <w:bookmarkEnd w:id="24"/>
    </w:p>
    <w:p>
      <w:pPr>
        <w:ind w:firstLine="480"/>
      </w:pPr>
      <w:r>
        <w:t>（1）性能验收试验的目的是为了检验合同设备的所有性能是否符合本技术文件的要求。</w:t>
      </w:r>
    </w:p>
    <w:p>
      <w:pPr>
        <w:ind w:firstLine="480"/>
      </w:pPr>
      <w:r>
        <w:t>（2）性能验收试验的地点在招标方项目现场。</w:t>
      </w:r>
    </w:p>
    <w:p>
      <w:pPr>
        <w:ind w:firstLine="480"/>
      </w:pPr>
      <w:r>
        <w:t>（3）机组性能试验的时间一般在招标方现场安装完毕调试后三日内进行，具体试验时间由招标方投标方共同商定。</w:t>
      </w:r>
    </w:p>
    <w:p>
      <w:pPr>
        <w:ind w:firstLine="480"/>
      </w:pPr>
      <w:r>
        <w:t>（4）性能验收试验由招标方主持，投标方参与，按照下述性能验收指标进行。</w:t>
      </w:r>
    </w:p>
    <w:p>
      <w:pPr>
        <w:ind w:firstLine="480"/>
      </w:pPr>
      <w:r>
        <w:t>（5）性能验收试验报告以招标方为主编写，投标方参加，共同签章确认</w:t>
      </w:r>
      <w:r>
        <w:rPr>
          <w:rFonts w:hint="eastAsia"/>
        </w:rPr>
        <w:t>结论</w:t>
      </w:r>
      <w:r>
        <w:t>。</w:t>
      </w:r>
    </w:p>
    <w:p>
      <w:pPr>
        <w:ind w:firstLine="480"/>
      </w:pPr>
      <w:r>
        <w:t>（6）性能验收指标</w:t>
      </w:r>
    </w:p>
    <w:p>
      <w:pPr>
        <w:ind w:firstLine="720" w:firstLineChars="300"/>
      </w:pPr>
      <w:r>
        <w:t>1）商务合同；</w:t>
      </w:r>
    </w:p>
    <w:p>
      <w:pPr>
        <w:ind w:firstLine="720" w:firstLineChars="300"/>
      </w:pPr>
      <w:r>
        <w:t>2）国家有关的验收标准及规范；</w:t>
      </w:r>
    </w:p>
    <w:p>
      <w:pPr>
        <w:ind w:firstLine="720" w:firstLineChars="300"/>
      </w:pPr>
      <w:r>
        <w:t>3）设计部门的技术文件；</w:t>
      </w:r>
    </w:p>
    <w:p>
      <w:pPr>
        <w:ind w:firstLine="720" w:firstLineChars="300"/>
      </w:pPr>
      <w:r>
        <w:t>4）双方签订的技术协议等；</w:t>
      </w:r>
    </w:p>
    <w:p>
      <w:pPr>
        <w:ind w:firstLine="720" w:firstLineChars="300"/>
      </w:pPr>
      <w:r>
        <w:t>5）交付的备品、备件是否完整</w:t>
      </w:r>
    </w:p>
    <w:p>
      <w:pPr>
        <w:pStyle w:val="2"/>
        <w:numPr>
          <w:ilvl w:val="0"/>
          <w:numId w:val="15"/>
        </w:numPr>
      </w:pPr>
      <w:bookmarkStart w:id="25" w:name="_Toc5206"/>
      <w:bookmarkStart w:id="26" w:name="_Toc28933"/>
      <w:r>
        <w:t>提供资料</w:t>
      </w:r>
      <w:bookmarkEnd w:id="25"/>
      <w:bookmarkEnd w:id="26"/>
    </w:p>
    <w:p>
      <w:pPr>
        <w:ind w:firstLine="480"/>
      </w:pPr>
      <w:r>
        <w:t>投标方负责提供用于设计，制造、安装、操作及维修、检验的所有资料。投标方</w:t>
      </w:r>
      <w:r>
        <w:rPr>
          <w:rFonts w:hint="eastAsia"/>
        </w:rPr>
        <w:t>向</w:t>
      </w:r>
      <w:r>
        <w:t>招标方分期分批提供如下图纸和资料</w:t>
      </w:r>
    </w:p>
    <w:p>
      <w:pPr>
        <w:pStyle w:val="3"/>
        <w:numPr>
          <w:ilvl w:val="0"/>
          <w:numId w:val="0"/>
        </w:numPr>
        <w:rPr>
          <w:rFonts w:ascii="Times New Roman" w:hAnsi="Times New Roman"/>
        </w:rPr>
      </w:pPr>
      <w:bookmarkStart w:id="27" w:name="_Toc9504272"/>
      <w:r>
        <w:rPr>
          <w:rFonts w:ascii="Times New Roman" w:hAnsi="Times New Roman"/>
        </w:rPr>
        <w:t>1</w:t>
      </w:r>
      <w:r>
        <w:rPr>
          <w:rFonts w:hint="eastAsia" w:ascii="Times New Roman" w:hAnsi="Times New Roman"/>
        </w:rPr>
        <w:t>1</w:t>
      </w:r>
      <w:r>
        <w:rPr>
          <w:rFonts w:ascii="Times New Roman" w:hAnsi="Times New Roman"/>
        </w:rPr>
        <w:t>.1投标时提供的图纸和资料</w:t>
      </w:r>
    </w:p>
    <w:p>
      <w:pPr>
        <w:ind w:firstLine="480"/>
      </w:pPr>
      <w:r>
        <w:t>投标时投标方需提供</w:t>
      </w:r>
      <w:r>
        <w:rPr>
          <w:rFonts w:hint="eastAsia"/>
        </w:rPr>
        <w:t>以</w:t>
      </w:r>
      <w:r>
        <w:t>下图纸和资料的纸质版2</w:t>
      </w:r>
      <w:r>
        <w:rPr>
          <w:rFonts w:hint="eastAsia"/>
        </w:rPr>
        <w:t>份</w:t>
      </w:r>
      <w:r>
        <w:t>和电子（CAD）版1份。</w:t>
      </w:r>
    </w:p>
    <w:p>
      <w:pPr>
        <w:pStyle w:val="67"/>
        <w:numPr>
          <w:ilvl w:val="0"/>
          <w:numId w:val="17"/>
        </w:numPr>
        <w:ind w:firstLineChars="0"/>
        <w:rPr>
          <w:rFonts w:ascii="Times New Roman" w:hAnsi="Times New Roman"/>
          <w:sz w:val="24"/>
          <w:szCs w:val="24"/>
        </w:rPr>
      </w:pPr>
      <w:r>
        <w:rPr>
          <w:rFonts w:ascii="Times New Roman" w:hAnsi="Times New Roman"/>
          <w:sz w:val="24"/>
          <w:szCs w:val="24"/>
        </w:rPr>
        <w:t>填写完整的数据表（设备清单等）</w:t>
      </w:r>
      <w:r>
        <w:rPr>
          <w:rFonts w:hint="eastAsia" w:ascii="Times New Roman" w:hAnsi="Times New Roman"/>
          <w:sz w:val="24"/>
          <w:szCs w:val="24"/>
        </w:rPr>
        <w:t>。</w:t>
      </w:r>
    </w:p>
    <w:p>
      <w:pPr>
        <w:pStyle w:val="67"/>
        <w:numPr>
          <w:ilvl w:val="0"/>
          <w:numId w:val="17"/>
        </w:numPr>
        <w:ind w:firstLineChars="0"/>
        <w:rPr>
          <w:rFonts w:ascii="Times New Roman" w:hAnsi="Times New Roman"/>
          <w:sz w:val="24"/>
          <w:szCs w:val="24"/>
        </w:rPr>
      </w:pPr>
      <w:r>
        <w:rPr>
          <w:rFonts w:ascii="Times New Roman" w:hAnsi="Times New Roman"/>
          <w:sz w:val="24"/>
          <w:szCs w:val="24"/>
        </w:rPr>
        <w:t>设计制造检测和试验等采用的标准和规范。</w:t>
      </w:r>
    </w:p>
    <w:p>
      <w:pPr>
        <w:pStyle w:val="67"/>
        <w:numPr>
          <w:ilvl w:val="0"/>
          <w:numId w:val="17"/>
        </w:numPr>
        <w:ind w:firstLineChars="0"/>
        <w:rPr>
          <w:rFonts w:ascii="Times New Roman" w:hAnsi="Times New Roman"/>
          <w:sz w:val="24"/>
          <w:szCs w:val="24"/>
        </w:rPr>
      </w:pPr>
      <w:r>
        <w:rPr>
          <w:rFonts w:ascii="Times New Roman" w:hAnsi="Times New Roman"/>
          <w:sz w:val="24"/>
          <w:szCs w:val="24"/>
        </w:rPr>
        <w:t>外形图、布置图和连接件清单。</w:t>
      </w:r>
    </w:p>
    <w:p>
      <w:pPr>
        <w:pStyle w:val="67"/>
        <w:numPr>
          <w:ilvl w:val="0"/>
          <w:numId w:val="17"/>
        </w:numPr>
        <w:ind w:firstLineChars="0"/>
        <w:rPr>
          <w:rFonts w:ascii="Times New Roman" w:hAnsi="Times New Roman"/>
          <w:sz w:val="24"/>
          <w:szCs w:val="24"/>
        </w:rPr>
      </w:pPr>
      <w:r>
        <w:rPr>
          <w:rFonts w:ascii="Times New Roman" w:hAnsi="Times New Roman"/>
          <w:sz w:val="24"/>
          <w:szCs w:val="24"/>
        </w:rPr>
        <w:t>供货清单、备品备件清单。</w:t>
      </w:r>
    </w:p>
    <w:p>
      <w:pPr>
        <w:pStyle w:val="3"/>
        <w:numPr>
          <w:ilvl w:val="0"/>
          <w:numId w:val="0"/>
        </w:numPr>
        <w:rPr>
          <w:rFonts w:ascii="Times New Roman" w:hAnsi="Times New Roman"/>
        </w:rPr>
      </w:pPr>
      <w:r>
        <w:rPr>
          <w:rFonts w:ascii="Times New Roman" w:hAnsi="Times New Roman"/>
        </w:rPr>
        <w:t>1</w:t>
      </w:r>
      <w:r>
        <w:rPr>
          <w:rFonts w:hint="eastAsia" w:ascii="Times New Roman" w:hAnsi="Times New Roman"/>
        </w:rPr>
        <w:t>1</w:t>
      </w:r>
      <w:r>
        <w:rPr>
          <w:rFonts w:ascii="Times New Roman" w:hAnsi="Times New Roman"/>
        </w:rPr>
        <w:t>.2技术协议签订后提供的图纸和资料</w:t>
      </w:r>
    </w:p>
    <w:p>
      <w:pPr>
        <w:ind w:firstLine="480"/>
      </w:pPr>
      <w:r>
        <w:t>技术协议签订后七天内，投标方需提供以下图纸和资料的纸质版和电子（可编辑CAD）版，电子版图纸与纸质版图纸保证一一对应，要求所有图纸及资料投标方必须盖章并签字确认。</w:t>
      </w:r>
    </w:p>
    <w:p>
      <w:pPr>
        <w:pStyle w:val="67"/>
        <w:numPr>
          <w:ilvl w:val="0"/>
          <w:numId w:val="18"/>
        </w:numPr>
        <w:ind w:firstLineChars="0"/>
        <w:rPr>
          <w:rFonts w:ascii="Times New Roman" w:hAnsi="Times New Roman"/>
          <w:sz w:val="24"/>
          <w:szCs w:val="24"/>
        </w:rPr>
      </w:pPr>
      <w:r>
        <w:rPr>
          <w:rFonts w:ascii="Times New Roman" w:hAnsi="Times New Roman"/>
          <w:sz w:val="24"/>
          <w:szCs w:val="24"/>
        </w:rPr>
        <w:t>填写完整的数据表；</w:t>
      </w:r>
    </w:p>
    <w:p>
      <w:pPr>
        <w:pStyle w:val="67"/>
        <w:numPr>
          <w:ilvl w:val="0"/>
          <w:numId w:val="18"/>
        </w:numPr>
        <w:ind w:firstLineChars="0"/>
        <w:rPr>
          <w:rFonts w:ascii="Times New Roman" w:hAnsi="Times New Roman"/>
          <w:sz w:val="24"/>
          <w:szCs w:val="24"/>
        </w:rPr>
      </w:pPr>
      <w:r>
        <w:rPr>
          <w:rFonts w:ascii="Times New Roman" w:hAnsi="Times New Roman"/>
          <w:sz w:val="24"/>
          <w:szCs w:val="24"/>
        </w:rPr>
        <w:t>能耗表，包括水、电、气、油等；</w:t>
      </w:r>
    </w:p>
    <w:p>
      <w:pPr>
        <w:pStyle w:val="67"/>
        <w:numPr>
          <w:ilvl w:val="0"/>
          <w:numId w:val="18"/>
        </w:numPr>
        <w:ind w:firstLineChars="0"/>
        <w:rPr>
          <w:rFonts w:ascii="Times New Roman" w:hAnsi="Times New Roman"/>
          <w:sz w:val="24"/>
          <w:szCs w:val="24"/>
        </w:rPr>
      </w:pPr>
      <w:r>
        <w:rPr>
          <w:rFonts w:ascii="Times New Roman" w:hAnsi="Times New Roman"/>
          <w:sz w:val="24"/>
          <w:szCs w:val="24"/>
        </w:rPr>
        <w:t>设计制造检测和实验等采用的标准和规范；</w:t>
      </w:r>
    </w:p>
    <w:p>
      <w:pPr>
        <w:pStyle w:val="67"/>
        <w:numPr>
          <w:ilvl w:val="0"/>
          <w:numId w:val="18"/>
        </w:numPr>
        <w:ind w:firstLineChars="0"/>
        <w:rPr>
          <w:rFonts w:ascii="Times New Roman" w:hAnsi="Times New Roman"/>
          <w:sz w:val="24"/>
          <w:szCs w:val="24"/>
        </w:rPr>
      </w:pPr>
      <w:r>
        <w:rPr>
          <w:rFonts w:ascii="Times New Roman" w:hAnsi="Times New Roman"/>
          <w:sz w:val="24"/>
          <w:szCs w:val="24"/>
        </w:rPr>
        <w:t>外形图、布置图和连接件清单；</w:t>
      </w:r>
    </w:p>
    <w:p>
      <w:pPr>
        <w:pStyle w:val="67"/>
        <w:numPr>
          <w:ilvl w:val="0"/>
          <w:numId w:val="18"/>
        </w:numPr>
        <w:ind w:firstLineChars="0"/>
        <w:rPr>
          <w:rFonts w:ascii="Times New Roman" w:hAnsi="Times New Roman"/>
          <w:sz w:val="24"/>
          <w:szCs w:val="24"/>
        </w:rPr>
      </w:pPr>
      <w:r>
        <w:rPr>
          <w:rFonts w:ascii="Times New Roman" w:hAnsi="Times New Roman"/>
          <w:sz w:val="24"/>
          <w:szCs w:val="24"/>
        </w:rPr>
        <w:t>设备的基础外形图和载荷数据；</w:t>
      </w:r>
    </w:p>
    <w:p>
      <w:pPr>
        <w:pStyle w:val="67"/>
        <w:numPr>
          <w:ilvl w:val="0"/>
          <w:numId w:val="18"/>
        </w:numPr>
        <w:ind w:firstLineChars="0"/>
        <w:rPr>
          <w:rFonts w:ascii="Times New Roman" w:hAnsi="Times New Roman"/>
          <w:sz w:val="24"/>
          <w:szCs w:val="24"/>
        </w:rPr>
      </w:pPr>
      <w:r>
        <w:rPr>
          <w:rFonts w:ascii="Times New Roman" w:hAnsi="Times New Roman"/>
          <w:sz w:val="24"/>
          <w:szCs w:val="24"/>
        </w:rPr>
        <w:t>供货清单、一年期备品备件、一年以上三年以下备品备件清单</w:t>
      </w:r>
      <w:r>
        <w:rPr>
          <w:rFonts w:hint="eastAsia" w:ascii="Times New Roman" w:hAnsi="Times New Roman"/>
          <w:sz w:val="24"/>
          <w:szCs w:val="24"/>
        </w:rPr>
        <w:t>；</w:t>
      </w:r>
    </w:p>
    <w:p>
      <w:pPr>
        <w:pStyle w:val="67"/>
        <w:numPr>
          <w:ilvl w:val="0"/>
          <w:numId w:val="18"/>
        </w:numPr>
        <w:ind w:firstLineChars="0"/>
        <w:rPr>
          <w:rFonts w:ascii="Times New Roman" w:hAnsi="Times New Roman"/>
          <w:sz w:val="24"/>
          <w:szCs w:val="24"/>
        </w:rPr>
      </w:pPr>
      <w:r>
        <w:rPr>
          <w:rFonts w:ascii="Times New Roman" w:hAnsi="Times New Roman"/>
          <w:sz w:val="24"/>
          <w:szCs w:val="24"/>
        </w:rPr>
        <w:t>设备技术协议。</w:t>
      </w:r>
    </w:p>
    <w:p>
      <w:pPr>
        <w:pStyle w:val="67"/>
        <w:ind w:firstLine="0" w:firstLineChars="0"/>
        <w:jc w:val="center"/>
        <w:rPr>
          <w:rFonts w:ascii="Times New Roman" w:hAnsi="Times New Roman"/>
          <w:sz w:val="24"/>
          <w:szCs w:val="24"/>
        </w:rPr>
      </w:pPr>
      <w:r>
        <w:rPr>
          <w:rFonts w:ascii="Times New Roman" w:hAnsi="Times New Roman"/>
          <w:sz w:val="24"/>
          <w:szCs w:val="24"/>
        </w:rPr>
        <w:t>主要资料及图纸数量表</w:t>
      </w:r>
    </w:p>
    <w:tbl>
      <w:tblPr>
        <w:tblStyle w:val="26"/>
        <w:tblW w:w="86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579"/>
        <w:gridCol w:w="1984"/>
        <w:gridCol w:w="21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2" w:hRule="atLeast"/>
          <w:jc w:val="center"/>
        </w:trPr>
        <w:tc>
          <w:tcPr>
            <w:tcW w:w="4579" w:type="dxa"/>
            <w:vAlign w:val="center"/>
          </w:tcPr>
          <w:p>
            <w:pPr>
              <w:pStyle w:val="67"/>
              <w:ind w:firstLine="0" w:firstLineChars="0"/>
              <w:jc w:val="center"/>
              <w:rPr>
                <w:rFonts w:ascii="Times New Roman" w:hAnsi="Times New Roman" w:eastAsiaTheme="minorEastAsia"/>
                <w:sz w:val="24"/>
                <w:szCs w:val="24"/>
              </w:rPr>
            </w:pPr>
            <w:r>
              <w:rPr>
                <w:rFonts w:ascii="Times New Roman" w:hAnsiTheme="minorEastAsia" w:eastAsiaTheme="minorEastAsia"/>
                <w:sz w:val="24"/>
                <w:szCs w:val="24"/>
              </w:rPr>
              <w:t>资料名称</w:t>
            </w:r>
          </w:p>
        </w:tc>
        <w:tc>
          <w:tcPr>
            <w:tcW w:w="1984" w:type="dxa"/>
            <w:vAlign w:val="center"/>
          </w:tcPr>
          <w:p>
            <w:pPr>
              <w:pStyle w:val="67"/>
              <w:ind w:firstLine="0" w:firstLineChars="0"/>
              <w:jc w:val="center"/>
              <w:rPr>
                <w:rFonts w:ascii="Times New Roman" w:hAnsi="Times New Roman" w:eastAsiaTheme="minorEastAsia"/>
                <w:sz w:val="24"/>
                <w:szCs w:val="24"/>
              </w:rPr>
            </w:pPr>
            <w:r>
              <w:rPr>
                <w:rFonts w:ascii="Times New Roman" w:hAnsiTheme="minorEastAsia" w:eastAsiaTheme="minorEastAsia"/>
                <w:sz w:val="24"/>
                <w:szCs w:val="24"/>
              </w:rPr>
              <w:t>数量（套）</w:t>
            </w:r>
          </w:p>
        </w:tc>
        <w:tc>
          <w:tcPr>
            <w:tcW w:w="2110" w:type="dxa"/>
            <w:vAlign w:val="center"/>
          </w:tcPr>
          <w:p>
            <w:pPr>
              <w:pStyle w:val="67"/>
              <w:ind w:firstLine="0" w:firstLineChars="0"/>
              <w:jc w:val="center"/>
              <w:rPr>
                <w:rFonts w:ascii="Times New Roman" w:hAnsi="Times New Roman" w:eastAsiaTheme="minorEastAsia"/>
                <w:sz w:val="24"/>
                <w:szCs w:val="24"/>
              </w:rPr>
            </w:pPr>
            <w:r>
              <w:rPr>
                <w:rFonts w:ascii="Times New Roman" w:hAnsiTheme="minorEastAsia" w:eastAsiaTheme="minorEastAsia"/>
                <w:sz w:val="24"/>
                <w:szCs w:val="24"/>
              </w:rPr>
              <w:t>其他要求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4579" w:type="dxa"/>
            <w:vAlign w:val="center"/>
          </w:tcPr>
          <w:p>
            <w:pPr>
              <w:pStyle w:val="67"/>
              <w:ind w:firstLine="0" w:firstLineChars="0"/>
              <w:jc w:val="center"/>
              <w:rPr>
                <w:rFonts w:ascii="Times New Roman" w:hAnsi="Times New Roman" w:eastAsiaTheme="minorEastAsia"/>
                <w:sz w:val="24"/>
                <w:szCs w:val="24"/>
              </w:rPr>
            </w:pPr>
            <w:r>
              <w:rPr>
                <w:rFonts w:ascii="Times New Roman" w:hAnsiTheme="minorEastAsia" w:eastAsiaTheme="minorEastAsia"/>
                <w:sz w:val="24"/>
                <w:szCs w:val="24"/>
              </w:rPr>
              <w:t>设备技术协议</w:t>
            </w:r>
          </w:p>
        </w:tc>
        <w:tc>
          <w:tcPr>
            <w:tcW w:w="1984" w:type="dxa"/>
            <w:vAlign w:val="center"/>
          </w:tcPr>
          <w:p>
            <w:pPr>
              <w:pStyle w:val="67"/>
              <w:ind w:firstLine="0" w:firstLineChars="0"/>
              <w:jc w:val="center"/>
              <w:rPr>
                <w:rFonts w:ascii="Times New Roman" w:hAnsi="Times New Roman" w:eastAsiaTheme="minorEastAsia"/>
                <w:sz w:val="24"/>
                <w:szCs w:val="24"/>
              </w:rPr>
            </w:pPr>
            <w:r>
              <w:rPr>
                <w:rFonts w:ascii="Times New Roman" w:hAnsi="Times New Roman" w:eastAsiaTheme="minorEastAsia"/>
                <w:sz w:val="24"/>
                <w:szCs w:val="24"/>
              </w:rPr>
              <w:t>8</w:t>
            </w:r>
            <w:r>
              <w:rPr>
                <w:rFonts w:ascii="Times New Roman" w:hAnsiTheme="minorEastAsia" w:eastAsiaTheme="minorEastAsia"/>
                <w:sz w:val="24"/>
                <w:szCs w:val="24"/>
              </w:rPr>
              <w:t>（原件</w:t>
            </w:r>
            <w:r>
              <w:rPr>
                <w:rFonts w:ascii="Times New Roman" w:hAnsi="Times New Roman" w:eastAsiaTheme="minorEastAsia"/>
                <w:sz w:val="24"/>
                <w:szCs w:val="24"/>
              </w:rPr>
              <w:t>3</w:t>
            </w:r>
            <w:r>
              <w:rPr>
                <w:rFonts w:ascii="Times New Roman" w:hAnsiTheme="minorEastAsia" w:eastAsiaTheme="minorEastAsia"/>
                <w:sz w:val="24"/>
                <w:szCs w:val="24"/>
              </w:rPr>
              <w:t>套）</w:t>
            </w:r>
          </w:p>
        </w:tc>
        <w:tc>
          <w:tcPr>
            <w:tcW w:w="2110" w:type="dxa"/>
            <w:vAlign w:val="center"/>
          </w:tcPr>
          <w:p>
            <w:pPr>
              <w:pStyle w:val="67"/>
              <w:ind w:firstLine="0" w:firstLineChars="0"/>
              <w:jc w:val="center"/>
              <w:rPr>
                <w:rFonts w:ascii="Times New Roman" w:hAnsi="Times New Roman" w:eastAsia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4579" w:type="dxa"/>
            <w:vAlign w:val="center"/>
          </w:tcPr>
          <w:p>
            <w:pPr>
              <w:pStyle w:val="67"/>
              <w:ind w:firstLine="0" w:firstLineChars="0"/>
              <w:jc w:val="center"/>
              <w:rPr>
                <w:rFonts w:ascii="Times New Roman" w:hAnsi="Times New Roman" w:eastAsiaTheme="minorEastAsia"/>
                <w:sz w:val="24"/>
                <w:szCs w:val="24"/>
              </w:rPr>
            </w:pPr>
            <w:r>
              <w:rPr>
                <w:rFonts w:ascii="Times New Roman" w:hAnsiTheme="minorEastAsia" w:eastAsiaTheme="minorEastAsia"/>
                <w:sz w:val="24"/>
                <w:szCs w:val="24"/>
              </w:rPr>
              <w:t>设备图纸、资料（原件）</w:t>
            </w:r>
          </w:p>
        </w:tc>
        <w:tc>
          <w:tcPr>
            <w:tcW w:w="1984" w:type="dxa"/>
            <w:vAlign w:val="center"/>
          </w:tcPr>
          <w:p>
            <w:pPr>
              <w:pStyle w:val="67"/>
              <w:ind w:firstLine="0" w:firstLineChars="0"/>
              <w:jc w:val="center"/>
              <w:rPr>
                <w:rFonts w:ascii="Times New Roman" w:hAnsi="Times New Roman" w:eastAsiaTheme="minorEastAsia"/>
                <w:sz w:val="24"/>
                <w:szCs w:val="24"/>
              </w:rPr>
            </w:pPr>
            <w:r>
              <w:rPr>
                <w:rFonts w:ascii="Times New Roman" w:hAnsi="Times New Roman" w:eastAsiaTheme="minorEastAsia"/>
                <w:sz w:val="24"/>
                <w:szCs w:val="24"/>
              </w:rPr>
              <w:t>8</w:t>
            </w:r>
          </w:p>
        </w:tc>
        <w:tc>
          <w:tcPr>
            <w:tcW w:w="2110" w:type="dxa"/>
            <w:vAlign w:val="center"/>
          </w:tcPr>
          <w:p>
            <w:pPr>
              <w:pStyle w:val="67"/>
              <w:ind w:firstLine="0" w:firstLineChars="0"/>
              <w:jc w:val="center"/>
              <w:rPr>
                <w:rFonts w:ascii="Times New Roman" w:hAnsi="Times New Roman" w:eastAsia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4579" w:type="dxa"/>
            <w:vAlign w:val="center"/>
          </w:tcPr>
          <w:p>
            <w:pPr>
              <w:pStyle w:val="67"/>
              <w:ind w:firstLine="0" w:firstLineChars="0"/>
              <w:jc w:val="center"/>
              <w:rPr>
                <w:rFonts w:hint="eastAsia" w:ascii="Times New Roman" w:hAnsi="Times New Roman" w:eastAsiaTheme="minorEastAsia"/>
                <w:sz w:val="24"/>
                <w:szCs w:val="24"/>
                <w:lang w:eastAsia="zh-CN"/>
              </w:rPr>
            </w:pPr>
            <w:r>
              <w:rPr>
                <w:rFonts w:ascii="Times New Roman" w:hAnsiTheme="minorEastAsia" w:eastAsiaTheme="minorEastAsia"/>
                <w:sz w:val="24"/>
                <w:szCs w:val="24"/>
              </w:rPr>
              <w:t>控制系统的系统软件、组态软件</w:t>
            </w:r>
            <w:r>
              <w:rPr>
                <w:rFonts w:hint="eastAsia" w:ascii="Times New Roman" w:hAnsiTheme="minorEastAsia" w:eastAsiaTheme="minorEastAsia"/>
                <w:sz w:val="24"/>
                <w:szCs w:val="24"/>
                <w:lang w:eastAsia="zh-CN"/>
              </w:rPr>
              <w:t>（</w:t>
            </w:r>
            <w:r>
              <w:rPr>
                <w:rFonts w:hint="eastAsia" w:ascii="Times New Roman" w:hAnsiTheme="minorEastAsia" w:eastAsiaTheme="minorEastAsia"/>
                <w:sz w:val="24"/>
                <w:szCs w:val="24"/>
                <w:lang w:val="en-US" w:eastAsia="zh-CN"/>
              </w:rPr>
              <w:t>如有</w:t>
            </w:r>
            <w:r>
              <w:rPr>
                <w:rFonts w:hint="eastAsia" w:ascii="Times New Roman" w:hAnsiTheme="minorEastAsia" w:eastAsiaTheme="minorEastAsia"/>
                <w:sz w:val="24"/>
                <w:szCs w:val="24"/>
                <w:lang w:eastAsia="zh-CN"/>
              </w:rPr>
              <w:t>）</w:t>
            </w:r>
          </w:p>
        </w:tc>
        <w:tc>
          <w:tcPr>
            <w:tcW w:w="1984" w:type="dxa"/>
            <w:vAlign w:val="center"/>
          </w:tcPr>
          <w:p>
            <w:pPr>
              <w:pStyle w:val="67"/>
              <w:ind w:firstLine="0" w:firstLineChars="0"/>
              <w:jc w:val="center"/>
              <w:rPr>
                <w:rFonts w:ascii="Times New Roman" w:hAnsi="Times New Roman" w:eastAsiaTheme="minorEastAsia"/>
                <w:sz w:val="24"/>
                <w:szCs w:val="24"/>
              </w:rPr>
            </w:pPr>
            <w:r>
              <w:rPr>
                <w:rFonts w:ascii="Times New Roman" w:hAnsiTheme="minorEastAsia" w:eastAsiaTheme="minorEastAsia"/>
                <w:sz w:val="24"/>
                <w:szCs w:val="24"/>
              </w:rPr>
              <w:t>按设备台数提供</w:t>
            </w:r>
          </w:p>
        </w:tc>
        <w:tc>
          <w:tcPr>
            <w:tcW w:w="2110" w:type="dxa"/>
            <w:vAlign w:val="center"/>
          </w:tcPr>
          <w:p>
            <w:pPr>
              <w:pStyle w:val="67"/>
              <w:ind w:firstLine="0" w:firstLineChars="0"/>
              <w:jc w:val="center"/>
              <w:rPr>
                <w:rFonts w:ascii="Times New Roman" w:hAnsi="Times New Roman" w:eastAsia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4579" w:type="dxa"/>
            <w:vAlign w:val="center"/>
          </w:tcPr>
          <w:p>
            <w:pPr>
              <w:pStyle w:val="67"/>
              <w:ind w:firstLine="0" w:firstLineChars="0"/>
              <w:jc w:val="center"/>
              <w:rPr>
                <w:rFonts w:ascii="Times New Roman" w:hAnsi="Times New Roman" w:eastAsiaTheme="minorEastAsia"/>
                <w:sz w:val="24"/>
                <w:szCs w:val="24"/>
              </w:rPr>
            </w:pPr>
            <w:r>
              <w:rPr>
                <w:rFonts w:ascii="Times New Roman" w:hAnsiTheme="minorEastAsia" w:eastAsiaTheme="minorEastAsia"/>
                <w:sz w:val="24"/>
                <w:szCs w:val="24"/>
              </w:rPr>
              <w:t>竣工资料（含竣工图）</w:t>
            </w:r>
          </w:p>
        </w:tc>
        <w:tc>
          <w:tcPr>
            <w:tcW w:w="1984" w:type="dxa"/>
            <w:vAlign w:val="center"/>
          </w:tcPr>
          <w:p>
            <w:pPr>
              <w:pStyle w:val="67"/>
              <w:ind w:firstLine="0" w:firstLineChars="0"/>
              <w:jc w:val="center"/>
              <w:rPr>
                <w:rFonts w:ascii="Times New Roman" w:hAnsi="Times New Roman" w:eastAsiaTheme="minorEastAsia"/>
                <w:sz w:val="24"/>
                <w:szCs w:val="24"/>
              </w:rPr>
            </w:pPr>
            <w:r>
              <w:rPr>
                <w:rFonts w:ascii="Times New Roman" w:hAnsi="Times New Roman" w:eastAsiaTheme="minorEastAsia"/>
                <w:sz w:val="24"/>
                <w:szCs w:val="24"/>
              </w:rPr>
              <w:t>8</w:t>
            </w:r>
          </w:p>
        </w:tc>
        <w:tc>
          <w:tcPr>
            <w:tcW w:w="2110" w:type="dxa"/>
            <w:vAlign w:val="center"/>
          </w:tcPr>
          <w:p>
            <w:pPr>
              <w:pStyle w:val="67"/>
              <w:ind w:firstLine="0" w:firstLineChars="0"/>
              <w:jc w:val="center"/>
              <w:rPr>
                <w:rFonts w:ascii="Times New Roman" w:hAnsi="Times New Roman" w:eastAsia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4579" w:type="dxa"/>
            <w:vAlign w:val="center"/>
          </w:tcPr>
          <w:p>
            <w:pPr>
              <w:pStyle w:val="67"/>
              <w:ind w:firstLine="0" w:firstLineChars="0"/>
              <w:jc w:val="center"/>
              <w:rPr>
                <w:rFonts w:ascii="Times New Roman" w:hAnsi="Times New Roman" w:eastAsiaTheme="minorEastAsia"/>
                <w:sz w:val="24"/>
                <w:szCs w:val="24"/>
              </w:rPr>
            </w:pPr>
            <w:r>
              <w:rPr>
                <w:rFonts w:ascii="Times New Roman" w:hAnsiTheme="minorEastAsia" w:eastAsiaTheme="minorEastAsia"/>
                <w:sz w:val="24"/>
                <w:szCs w:val="24"/>
              </w:rPr>
              <w:t>调试大纲及方案（原件）</w:t>
            </w:r>
          </w:p>
        </w:tc>
        <w:tc>
          <w:tcPr>
            <w:tcW w:w="1984" w:type="dxa"/>
            <w:vAlign w:val="center"/>
          </w:tcPr>
          <w:p>
            <w:pPr>
              <w:pStyle w:val="67"/>
              <w:ind w:firstLine="0" w:firstLineChars="0"/>
              <w:jc w:val="center"/>
              <w:rPr>
                <w:rFonts w:ascii="Times New Roman" w:hAnsi="Times New Roman" w:eastAsiaTheme="minorEastAsia"/>
                <w:sz w:val="24"/>
                <w:szCs w:val="24"/>
              </w:rPr>
            </w:pPr>
            <w:r>
              <w:rPr>
                <w:rFonts w:ascii="Times New Roman" w:hAnsi="Times New Roman" w:eastAsiaTheme="minorEastAsia"/>
                <w:sz w:val="24"/>
                <w:szCs w:val="24"/>
              </w:rPr>
              <w:t>8</w:t>
            </w:r>
          </w:p>
        </w:tc>
        <w:tc>
          <w:tcPr>
            <w:tcW w:w="2110" w:type="dxa"/>
            <w:vAlign w:val="center"/>
          </w:tcPr>
          <w:p>
            <w:pPr>
              <w:pStyle w:val="67"/>
              <w:ind w:firstLine="0" w:firstLineChars="0"/>
              <w:jc w:val="center"/>
              <w:rPr>
                <w:rFonts w:ascii="Times New Roman" w:hAnsi="Times New Roman" w:eastAsia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4579" w:type="dxa"/>
            <w:vAlign w:val="center"/>
          </w:tcPr>
          <w:p>
            <w:pPr>
              <w:pStyle w:val="67"/>
              <w:ind w:firstLine="0" w:firstLineChars="0"/>
              <w:jc w:val="center"/>
              <w:rPr>
                <w:rFonts w:ascii="Times New Roman" w:hAnsi="Times New Roman" w:eastAsiaTheme="minorEastAsia"/>
                <w:sz w:val="24"/>
                <w:szCs w:val="24"/>
              </w:rPr>
            </w:pPr>
            <w:r>
              <w:rPr>
                <w:rFonts w:ascii="Times New Roman" w:hAnsiTheme="minorEastAsia" w:eastAsiaTheme="minorEastAsia"/>
                <w:sz w:val="24"/>
                <w:szCs w:val="24"/>
              </w:rPr>
              <w:t>调试报告（原件）</w:t>
            </w:r>
          </w:p>
        </w:tc>
        <w:tc>
          <w:tcPr>
            <w:tcW w:w="1984" w:type="dxa"/>
            <w:vAlign w:val="center"/>
          </w:tcPr>
          <w:p>
            <w:pPr>
              <w:pStyle w:val="67"/>
              <w:ind w:firstLine="0" w:firstLineChars="0"/>
              <w:jc w:val="center"/>
              <w:rPr>
                <w:rFonts w:ascii="Times New Roman" w:hAnsi="Times New Roman" w:eastAsiaTheme="minorEastAsia"/>
                <w:sz w:val="24"/>
                <w:szCs w:val="24"/>
              </w:rPr>
            </w:pPr>
            <w:r>
              <w:rPr>
                <w:rFonts w:ascii="Times New Roman" w:hAnsi="Times New Roman" w:eastAsiaTheme="minorEastAsia"/>
                <w:sz w:val="24"/>
                <w:szCs w:val="24"/>
              </w:rPr>
              <w:t>8</w:t>
            </w:r>
          </w:p>
        </w:tc>
        <w:tc>
          <w:tcPr>
            <w:tcW w:w="2110" w:type="dxa"/>
            <w:vAlign w:val="center"/>
          </w:tcPr>
          <w:p>
            <w:pPr>
              <w:pStyle w:val="67"/>
              <w:ind w:firstLine="0" w:firstLineChars="0"/>
              <w:jc w:val="center"/>
              <w:rPr>
                <w:rFonts w:ascii="Times New Roman" w:hAnsi="Times New Roman" w:eastAsiaTheme="minorEastAsia"/>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4579" w:type="dxa"/>
            <w:vAlign w:val="center"/>
          </w:tcPr>
          <w:p>
            <w:pPr>
              <w:pStyle w:val="67"/>
              <w:ind w:firstLine="0" w:firstLineChars="0"/>
              <w:jc w:val="center"/>
              <w:rPr>
                <w:rFonts w:ascii="Times New Roman" w:hAnsi="Times New Roman" w:eastAsiaTheme="minorEastAsia"/>
                <w:sz w:val="24"/>
                <w:szCs w:val="24"/>
              </w:rPr>
            </w:pPr>
            <w:r>
              <w:rPr>
                <w:rFonts w:ascii="Times New Roman" w:hAnsiTheme="minorEastAsia" w:eastAsiaTheme="minorEastAsia"/>
                <w:sz w:val="24"/>
                <w:szCs w:val="24"/>
              </w:rPr>
              <w:t>详细的设备操作、维护说明书</w:t>
            </w:r>
          </w:p>
        </w:tc>
        <w:tc>
          <w:tcPr>
            <w:tcW w:w="1984" w:type="dxa"/>
            <w:vAlign w:val="center"/>
          </w:tcPr>
          <w:p>
            <w:pPr>
              <w:pStyle w:val="67"/>
              <w:ind w:firstLine="0" w:firstLineChars="0"/>
              <w:jc w:val="center"/>
              <w:rPr>
                <w:rFonts w:ascii="Times New Roman" w:hAnsi="Times New Roman" w:eastAsiaTheme="minorEastAsia"/>
                <w:sz w:val="24"/>
                <w:szCs w:val="24"/>
              </w:rPr>
            </w:pPr>
            <w:r>
              <w:rPr>
                <w:rFonts w:ascii="Times New Roman" w:hAnsi="Times New Roman" w:eastAsiaTheme="minorEastAsia"/>
                <w:sz w:val="24"/>
                <w:szCs w:val="24"/>
              </w:rPr>
              <w:t>8</w:t>
            </w:r>
          </w:p>
        </w:tc>
        <w:tc>
          <w:tcPr>
            <w:tcW w:w="2110" w:type="dxa"/>
            <w:vAlign w:val="center"/>
          </w:tcPr>
          <w:p>
            <w:pPr>
              <w:pStyle w:val="67"/>
              <w:ind w:firstLine="0" w:firstLineChars="0"/>
              <w:jc w:val="center"/>
              <w:rPr>
                <w:rFonts w:ascii="Times New Roman" w:hAnsi="Times New Roman" w:eastAsiaTheme="minorEastAsia"/>
                <w:sz w:val="24"/>
                <w:szCs w:val="24"/>
              </w:rPr>
            </w:pPr>
          </w:p>
        </w:tc>
      </w:tr>
      <w:bookmarkEnd w:id="27"/>
    </w:tbl>
    <w:p>
      <w:pPr>
        <w:pStyle w:val="3"/>
        <w:numPr>
          <w:ilvl w:val="0"/>
          <w:numId w:val="0"/>
        </w:numPr>
        <w:rPr>
          <w:rFonts w:ascii="Times New Roman" w:hAnsi="Times New Roman"/>
          <w:szCs w:val="24"/>
        </w:rPr>
      </w:pPr>
      <w:r>
        <w:rPr>
          <w:rFonts w:ascii="Times New Roman" w:hAnsi="Times New Roman"/>
        </w:rPr>
        <w:t>1</w:t>
      </w:r>
      <w:r>
        <w:rPr>
          <w:rFonts w:hint="eastAsia" w:ascii="Times New Roman" w:hAnsi="Times New Roman"/>
        </w:rPr>
        <w:t>1</w:t>
      </w:r>
      <w:r>
        <w:rPr>
          <w:rFonts w:ascii="Times New Roman" w:hAnsi="Times New Roman"/>
        </w:rPr>
        <w:t>.3 随机资料</w:t>
      </w:r>
    </w:p>
    <w:p>
      <w:pPr>
        <w:ind w:firstLine="480"/>
      </w:pPr>
      <w:r>
        <w:t>（</w:t>
      </w:r>
      <w:r>
        <w:rPr>
          <w:rFonts w:hint="eastAsia"/>
          <w:lang w:val="en-US" w:eastAsia="zh-CN"/>
        </w:rPr>
        <w:t>1</w:t>
      </w:r>
      <w:r>
        <w:t>）机组在制造厂的检测和实验项目及出厂检验报告；</w:t>
      </w:r>
    </w:p>
    <w:p>
      <w:pPr>
        <w:ind w:firstLine="480"/>
      </w:pPr>
      <w:r>
        <w:t>（</w:t>
      </w:r>
      <w:r>
        <w:rPr>
          <w:rFonts w:hint="eastAsia"/>
          <w:lang w:val="en-US" w:eastAsia="zh-CN"/>
        </w:rPr>
        <w:t>2</w:t>
      </w:r>
      <w:r>
        <w:t>）装箱单、随机备品备件清单、</w:t>
      </w:r>
      <w:r>
        <w:rPr>
          <w:rFonts w:hint="eastAsia"/>
          <w:lang w:val="en-US" w:eastAsia="zh-CN"/>
        </w:rPr>
        <w:t>一</w:t>
      </w:r>
      <w:r>
        <w:t>年备品备件清单、专用工具清单；</w:t>
      </w:r>
    </w:p>
    <w:p>
      <w:pPr>
        <w:ind w:firstLine="480"/>
      </w:pPr>
      <w:r>
        <w:t>（</w:t>
      </w:r>
      <w:r>
        <w:rPr>
          <w:rFonts w:hint="eastAsia"/>
          <w:lang w:val="en-US" w:eastAsia="zh-CN"/>
        </w:rPr>
        <w:t>3</w:t>
      </w:r>
      <w:r>
        <w:t>）产品合格证及质量证明书、产品安全质量监督检验证书、质量证书手册；</w:t>
      </w:r>
    </w:p>
    <w:p>
      <w:pPr>
        <w:pStyle w:val="2"/>
      </w:pPr>
      <w:bookmarkStart w:id="28" w:name="_Toc4340"/>
      <w:bookmarkStart w:id="29" w:name="_Toc13404"/>
      <w:r>
        <w:t>1</w:t>
      </w:r>
      <w:r>
        <w:rPr>
          <w:rFonts w:hint="eastAsia"/>
        </w:rPr>
        <w:t xml:space="preserve">2. </w:t>
      </w:r>
      <w:r>
        <w:t>培训、技术服务和质量保障</w:t>
      </w:r>
      <w:bookmarkEnd w:id="28"/>
      <w:bookmarkEnd w:id="29"/>
    </w:p>
    <w:p>
      <w:pPr>
        <w:pStyle w:val="3"/>
        <w:numPr>
          <w:ilvl w:val="0"/>
          <w:numId w:val="0"/>
        </w:numPr>
        <w:rPr>
          <w:rFonts w:ascii="Times New Roman" w:hAnsi="Times New Roman"/>
        </w:rPr>
      </w:pPr>
      <w:bookmarkStart w:id="30" w:name="_Toc296166548"/>
      <w:r>
        <w:rPr>
          <w:rFonts w:ascii="Times New Roman" w:hAnsi="Times New Roman"/>
        </w:rPr>
        <w:t>1</w:t>
      </w:r>
      <w:r>
        <w:rPr>
          <w:rFonts w:hint="eastAsia" w:ascii="Times New Roman" w:hAnsi="Times New Roman"/>
        </w:rPr>
        <w:t>2</w:t>
      </w:r>
      <w:r>
        <w:rPr>
          <w:rFonts w:ascii="Times New Roman" w:hAnsi="Times New Roman"/>
        </w:rPr>
        <w:t>.1培训</w:t>
      </w:r>
    </w:p>
    <w:p>
      <w:pPr>
        <w:pStyle w:val="4"/>
        <w:numPr>
          <w:ilvl w:val="1"/>
          <w:numId w:val="0"/>
        </w:numPr>
      </w:pPr>
      <w:r>
        <w:t>1</w:t>
      </w:r>
      <w:r>
        <w:rPr>
          <w:rFonts w:hint="eastAsia"/>
        </w:rPr>
        <w:t>2</w:t>
      </w:r>
      <w:r>
        <w:t>.1.1培训计划</w:t>
      </w:r>
      <w:bookmarkEnd w:id="30"/>
    </w:p>
    <w:p>
      <w:pPr>
        <w:ind w:firstLine="480"/>
      </w:pPr>
      <w:r>
        <w:t>为使设备能正常运行，投标方负责提供相应的技术培训，培训的内容应满足招标方受培训人员能熟练地操作设备达到良好运行水平，并能解决、处理常规故障。</w:t>
      </w:r>
    </w:p>
    <w:p>
      <w:pPr>
        <w:ind w:firstLine="480"/>
      </w:pPr>
      <w:r>
        <w:t>培训计划如下：</w:t>
      </w:r>
    </w:p>
    <w:p>
      <w:pPr>
        <w:ind w:firstLine="480"/>
      </w:pPr>
      <w:r>
        <w:t>（1）投标方负责提出培训内容和培训计划，由招标方确认。</w:t>
      </w:r>
    </w:p>
    <w:p>
      <w:pPr>
        <w:ind w:firstLine="480"/>
      </w:pPr>
      <w:r>
        <w:t>（2）投标方选派有经验和有能力的技术人员对招标方技术人员进行培训。</w:t>
      </w:r>
    </w:p>
    <w:p>
      <w:pPr>
        <w:ind w:firstLine="480"/>
      </w:pPr>
      <w:r>
        <w:t>（3）培训将采用对实物进行系统的解释、作专题报告、现场参观、实际操作和阅读相关的技术资料和图纸等手段。</w:t>
      </w:r>
    </w:p>
    <w:p>
      <w:pPr>
        <w:ind w:firstLine="480"/>
      </w:pPr>
      <w:r>
        <w:t>（4）在培训期间，投标方将免费提供必要的技术资料和图纸、设施、工具、仪表等。</w:t>
      </w:r>
    </w:p>
    <w:p>
      <w:pPr>
        <w:ind w:firstLine="480"/>
        <w:rPr>
          <w:szCs w:val="24"/>
        </w:rPr>
      </w:pPr>
      <w:r>
        <w:t>（5）投标方要对被培训人员在培训期间的表现作出评价。</w:t>
      </w:r>
    </w:p>
    <w:p>
      <w:pPr>
        <w:pStyle w:val="4"/>
        <w:numPr>
          <w:ilvl w:val="1"/>
          <w:numId w:val="0"/>
        </w:numPr>
      </w:pPr>
      <w:bookmarkStart w:id="31" w:name="_Toc296166549"/>
      <w:r>
        <w:t>1</w:t>
      </w:r>
      <w:r>
        <w:rPr>
          <w:rFonts w:hint="eastAsia"/>
        </w:rPr>
        <w:t>2</w:t>
      </w:r>
      <w:r>
        <w:t>.1.2培训内容</w:t>
      </w:r>
      <w:bookmarkEnd w:id="31"/>
    </w:p>
    <w:p>
      <w:pPr>
        <w:ind w:firstLine="480"/>
      </w:pPr>
      <w:r>
        <w:t>（1）安装技术交底；工艺原理及设备结构介绍。</w:t>
      </w:r>
    </w:p>
    <w:p>
      <w:pPr>
        <w:ind w:firstLine="480"/>
      </w:pPr>
      <w:r>
        <w:t>（2）装置维护管理、设备故障分析及排除；电气、仪表原理。</w:t>
      </w:r>
    </w:p>
    <w:p>
      <w:pPr>
        <w:ind w:firstLine="480"/>
      </w:pPr>
      <w:r>
        <w:t>（3）操作故障分析及排除，系统控制运行等。</w:t>
      </w:r>
    </w:p>
    <w:p>
      <w:pPr>
        <w:pStyle w:val="4"/>
        <w:numPr>
          <w:ilvl w:val="1"/>
          <w:numId w:val="0"/>
        </w:numPr>
      </w:pPr>
      <w:bookmarkStart w:id="32" w:name="_Toc296166550"/>
      <w:r>
        <w:t>1</w:t>
      </w:r>
      <w:r>
        <w:rPr>
          <w:rFonts w:hint="eastAsia"/>
        </w:rPr>
        <w:t>2</w:t>
      </w:r>
      <w:r>
        <w:t>.1.3培训方式</w:t>
      </w:r>
      <w:bookmarkEnd w:id="32"/>
    </w:p>
    <w:p>
      <w:pPr>
        <w:ind w:firstLine="480"/>
      </w:pPr>
      <w:r>
        <w:t>（1）投标方将在现场为招标方的技术人员上课培训，地点在招标方现场。</w:t>
      </w:r>
    </w:p>
    <w:p>
      <w:pPr>
        <w:ind w:firstLine="480"/>
      </w:pPr>
      <w:r>
        <w:t>（2）投标方提供现场控制设备维护所必须的生产厂家培训。</w:t>
      </w:r>
    </w:p>
    <w:p>
      <w:pPr>
        <w:autoSpaceDE w:val="0"/>
        <w:autoSpaceDN w:val="0"/>
        <w:adjustRightInd w:val="0"/>
        <w:ind w:firstLine="480"/>
      </w:pPr>
      <w:r>
        <w:t>（3）在系统各设备调试期间，投标方在指导调试的过程中，对招标方的人员进行现场操作培训。</w:t>
      </w:r>
    </w:p>
    <w:p>
      <w:pPr>
        <w:pStyle w:val="3"/>
        <w:numPr>
          <w:ilvl w:val="0"/>
          <w:numId w:val="0"/>
        </w:numPr>
        <w:rPr>
          <w:rFonts w:ascii="Times New Roman" w:hAnsi="Times New Roman"/>
        </w:rPr>
      </w:pPr>
      <w:r>
        <w:rPr>
          <w:rFonts w:ascii="Times New Roman" w:hAnsi="Times New Roman"/>
        </w:rPr>
        <w:t>1</w:t>
      </w:r>
      <w:r>
        <w:rPr>
          <w:rFonts w:hint="eastAsia" w:ascii="Times New Roman" w:hAnsi="Times New Roman"/>
        </w:rPr>
        <w:t>2</w:t>
      </w:r>
      <w:r>
        <w:rPr>
          <w:rFonts w:ascii="Times New Roman" w:hAnsi="Times New Roman"/>
        </w:rPr>
        <w:t>.2技术服务和质量保障</w:t>
      </w:r>
    </w:p>
    <w:p>
      <w:pPr>
        <w:widowControl/>
        <w:ind w:firstLine="480"/>
        <w:rPr>
          <w:szCs w:val="24"/>
        </w:rPr>
      </w:pPr>
      <w:r>
        <w:t>（1）投标方对全套设备提供为期十</w:t>
      </w:r>
      <w:r>
        <w:rPr>
          <w:rFonts w:hint="eastAsia"/>
        </w:rPr>
        <w:t>二</w:t>
      </w:r>
      <w:r>
        <w:t>个月的质保期，质保期从调试验收合格之日算起十</w:t>
      </w:r>
      <w:r>
        <w:rPr>
          <w:rFonts w:hint="eastAsia"/>
        </w:rPr>
        <w:t>二</w:t>
      </w:r>
      <w:r>
        <w:t>个月。</w:t>
      </w:r>
    </w:p>
    <w:p>
      <w:pPr>
        <w:ind w:firstLine="480"/>
      </w:pPr>
      <w:r>
        <w:t>（2）设备在</w:t>
      </w:r>
      <w:r>
        <w:rPr>
          <w:rFonts w:hint="eastAsia"/>
        </w:rPr>
        <w:t>实际</w:t>
      </w:r>
      <w:r>
        <w:t>生产中满足不了生产工况要求，投标方负责免费更换。</w:t>
      </w:r>
    </w:p>
    <w:p>
      <w:pPr>
        <w:ind w:firstLine="480"/>
      </w:pPr>
      <w:r>
        <w:t>（3）在规定的质保期内，投标方对由于设计、工艺或材料而造成的任何缺陷和故障负责，对产品进行免费维修或更换。</w:t>
      </w:r>
    </w:p>
    <w:p>
      <w:pPr>
        <w:ind w:firstLine="480"/>
      </w:pPr>
      <w:r>
        <w:t>（4）除合同另有规定外，在质保期内设备出现故障及质量问题，投标方驻现场技术人员在收到招标方通知后8小时内免费维修或更换有缺陷的部件或整机。电气设备出现故障，投标方在保证4小时之内给予书面的技术指导方案或2小时内电话指导。若需要到现场解决问题，投标方接到通知后，保证在</w:t>
      </w:r>
      <w:r>
        <w:rPr>
          <w:rFonts w:hint="eastAsia"/>
        </w:rPr>
        <w:t>48</w:t>
      </w:r>
      <w:r>
        <w:t>小时之内派技术人员到达现场，及时处理故障，否则招标方有权自行扣除部分质保金。</w:t>
      </w:r>
    </w:p>
    <w:p>
      <w:pPr>
        <w:ind w:firstLine="480"/>
      </w:pPr>
      <w:r>
        <w:t>（5）设备进行重要检修时包括质保期过后，投标方免费派专业技术人员指导，至少免费指导系统大修一次。</w:t>
      </w:r>
    </w:p>
    <w:p>
      <w:pPr>
        <w:ind w:firstLine="480"/>
      </w:pPr>
      <w:r>
        <w:t>（6）质保期满后，投标方仍免费提供技术支持与服务。</w:t>
      </w:r>
    </w:p>
    <w:p>
      <w:pPr>
        <w:pStyle w:val="2"/>
      </w:pPr>
      <w:bookmarkStart w:id="33" w:name="_Toc27761"/>
      <w:bookmarkStart w:id="34" w:name="_Toc876"/>
      <w:bookmarkStart w:id="35" w:name="_Toc69456625"/>
      <w:r>
        <w:t>1</w:t>
      </w:r>
      <w:r>
        <w:rPr>
          <w:rFonts w:hint="eastAsia"/>
        </w:rPr>
        <w:t>3</w:t>
      </w:r>
      <w:r>
        <w:t>.</w:t>
      </w:r>
      <w:r>
        <w:rPr>
          <w:rFonts w:hint="eastAsia"/>
        </w:rPr>
        <w:t xml:space="preserve"> </w:t>
      </w:r>
      <w:r>
        <w:t>技术废标条件</w:t>
      </w:r>
      <w:bookmarkEnd w:id="33"/>
      <w:bookmarkEnd w:id="34"/>
    </w:p>
    <w:p>
      <w:pPr>
        <w:ind w:firstLine="480"/>
      </w:pPr>
      <w:r>
        <w:t>投标方应认真阅读本技术规格书的内容，有针对性的编写技术文件。当技术文件出现下列情况之一时，方案将直接淘汰。</w:t>
      </w:r>
    </w:p>
    <w:p>
      <w:pPr>
        <w:pStyle w:val="67"/>
        <w:numPr>
          <w:ilvl w:val="0"/>
          <w:numId w:val="19"/>
        </w:numPr>
        <w:ind w:firstLineChars="0"/>
        <w:rPr>
          <w:rFonts w:ascii="Times New Roman" w:hAnsi="Times New Roman"/>
          <w:sz w:val="24"/>
          <w:szCs w:val="24"/>
        </w:rPr>
      </w:pPr>
      <w:r>
        <w:rPr>
          <w:rFonts w:ascii="Times New Roman" w:hAnsi="Times New Roman"/>
          <w:sz w:val="24"/>
          <w:szCs w:val="24"/>
        </w:rPr>
        <w:t>无法满足招标方提出的</w:t>
      </w:r>
      <w:r>
        <w:rPr>
          <w:rFonts w:hint="eastAsia" w:ascii="Times New Roman" w:hAnsi="Times New Roman"/>
          <w:sz w:val="24"/>
          <w:szCs w:val="24"/>
          <w:lang w:val="en-US" w:eastAsia="zh-CN"/>
        </w:rPr>
        <w:t>品牌</w:t>
      </w:r>
      <w:r>
        <w:rPr>
          <w:rFonts w:ascii="Times New Roman" w:hAnsi="Times New Roman"/>
          <w:sz w:val="24"/>
          <w:szCs w:val="24"/>
        </w:rPr>
        <w:t>要求</w:t>
      </w:r>
      <w:r>
        <w:rPr>
          <w:rFonts w:hint="eastAsia" w:ascii="Times New Roman" w:hAnsi="Times New Roman"/>
          <w:sz w:val="24"/>
          <w:szCs w:val="24"/>
          <w:lang w:eastAsia="zh-CN"/>
        </w:rPr>
        <w:t>，</w:t>
      </w:r>
      <w:r>
        <w:rPr>
          <w:rFonts w:hint="eastAsia" w:ascii="Times New Roman" w:hAnsi="Times New Roman"/>
          <w:sz w:val="24"/>
          <w:szCs w:val="24"/>
          <w:lang w:val="en-US" w:eastAsia="zh-CN"/>
        </w:rPr>
        <w:t>用低端型号以次充好</w:t>
      </w:r>
      <w:r>
        <w:rPr>
          <w:rFonts w:ascii="Times New Roman" w:hAnsi="Times New Roman"/>
          <w:sz w:val="24"/>
          <w:szCs w:val="24"/>
        </w:rPr>
        <w:t>。</w:t>
      </w:r>
    </w:p>
    <w:p>
      <w:pPr>
        <w:pStyle w:val="67"/>
        <w:numPr>
          <w:ilvl w:val="0"/>
          <w:numId w:val="19"/>
        </w:numPr>
        <w:ind w:firstLineChars="0"/>
        <w:rPr>
          <w:rFonts w:ascii="Times New Roman" w:hAnsi="Times New Roman"/>
          <w:sz w:val="24"/>
          <w:szCs w:val="24"/>
        </w:rPr>
      </w:pPr>
      <w:r>
        <w:rPr>
          <w:rFonts w:ascii="Times New Roman" w:hAnsi="Times New Roman"/>
          <w:sz w:val="24"/>
          <w:szCs w:val="24"/>
        </w:rPr>
        <w:t>技术方案</w:t>
      </w:r>
      <w:r>
        <w:rPr>
          <w:rFonts w:hint="eastAsia" w:ascii="Times New Roman" w:hAnsi="Times New Roman"/>
          <w:sz w:val="24"/>
          <w:szCs w:val="24"/>
        </w:rPr>
        <w:t>描述</w:t>
      </w:r>
      <w:r>
        <w:rPr>
          <w:rFonts w:ascii="Times New Roman" w:hAnsi="Times New Roman"/>
          <w:sz w:val="24"/>
          <w:szCs w:val="24"/>
        </w:rPr>
        <w:t>混乱不清，无法判断是否能够满足各项技术要求。</w:t>
      </w:r>
    </w:p>
    <w:bookmarkEnd w:id="5"/>
    <w:bookmarkEnd w:id="35"/>
    <w:p>
      <w:pPr>
        <w:ind w:firstLine="0" w:firstLineChars="0"/>
      </w:pPr>
    </w:p>
    <w:sectPr>
      <w:headerReference r:id="rId14" w:type="first"/>
      <w:pgSz w:w="11906" w:h="16838"/>
      <w:pgMar w:top="1440" w:right="1800" w:bottom="1440" w:left="180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华文新魏">
    <w:panose1 w:val="02010800040101010101"/>
    <w:charset w:val="86"/>
    <w:family w:val="auto"/>
    <w:pitch w:val="default"/>
    <w:sig w:usb0="00000001" w:usb1="080F0000" w:usb2="0000000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240" w:lineRule="atLeast"/>
      <w:ind w:right="272" w:firstLine="0" w:firstLineChars="0"/>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240" w:lineRule="atLeast"/>
      <w:ind w:right="272" w:firstLine="0" w:firstLineChars="0"/>
    </w:pPr>
  </w:p>
  <w:p>
    <w:pPr>
      <w:pStyle w:val="16"/>
      <w:ind w:firstLine="360"/>
      <w:jc w:val="center"/>
    </w:pPr>
    <w:r>
      <w:fldChar w:fldCharType="begin"/>
    </w:r>
    <w:r>
      <w:instrText xml:space="preserve"> PAGE   \* MERGEFORMAT </w:instrText>
    </w:r>
    <w:r>
      <w:fldChar w:fldCharType="separate"/>
    </w:r>
    <w:r>
      <w:t>6</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center"/>
    </w:pPr>
    <w:r>
      <w:fldChar w:fldCharType="begin"/>
    </w:r>
    <w:r>
      <w:instrText xml:space="preserve"> PAGE   \* MERGEFORMAT </w:instrText>
    </w:r>
    <w:r>
      <w:fldChar w:fldCharType="separate"/>
    </w:r>
    <w:r>
      <w:rPr>
        <w:lang w:val="zh-CN"/>
      </w:rPr>
      <w:t>1</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line="240" w:lineRule="auto"/>
      <w:ind w:firstLine="0" w:firstLineChars="0"/>
      <w:jc w:val="both"/>
    </w:pPr>
    <w:r>
      <w:rPr>
        <w:sz w:val="21"/>
      </w:rPr>
      <w:drawing>
        <wp:inline distT="0" distB="0" distL="0" distR="0">
          <wp:extent cx="670560" cy="108585"/>
          <wp:effectExtent l="19050" t="0" r="0" b="0"/>
          <wp:docPr id="2" name="图片 1" descr="科达LOGO-中英文横竖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科达LOGO-中英文横竖版"/>
                  <pic:cNvPicPr>
                    <a:picLocks noChangeAspect="1" noChangeArrowheads="1"/>
                  </pic:cNvPicPr>
                </pic:nvPicPr>
                <pic:blipFill>
                  <a:blip r:embed="rId1"/>
                  <a:srcRect/>
                  <a:stretch>
                    <a:fillRect/>
                  </a:stretch>
                </pic:blipFill>
                <pic:spPr>
                  <a:xfrm>
                    <a:off x="0" y="0"/>
                    <a:ext cx="671070" cy="109147"/>
                  </a:xfrm>
                  <a:prstGeom prst="rect">
                    <a:avLst/>
                  </a:prstGeom>
                  <a:noFill/>
                  <a:ln w="9525">
                    <a:noFill/>
                    <a:miter lim="800000"/>
                    <a:headEnd/>
                    <a:tailEnd/>
                  </a:ln>
                </pic:spPr>
              </pic:pic>
            </a:graphicData>
          </a:graphic>
        </wp:inline>
      </w:drawing>
    </w:r>
    <w:r>
      <w:rPr>
        <w:rFonts w:hint="eastAsia"/>
        <w:sz w:val="21"/>
      </w:rPr>
      <w:t xml:space="preserve">                                              </w:t>
    </w:r>
    <w:r>
      <w:rPr>
        <w:rFonts w:hint="eastAsia"/>
      </w:rPr>
      <w:t>重庆科达新能源材料有限公司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line="240" w:lineRule="auto"/>
      <w:ind w:firstLine="3255" w:firstLineChars="1550"/>
      <w:jc w:val="right"/>
      <w:rPr>
        <w:sz w:val="21"/>
        <w:szCs w:val="21"/>
      </w:rPr>
    </w:pPr>
    <w:r>
      <w:rPr>
        <w:sz w:val="21"/>
        <w:u w:val="single"/>
      </w:rPr>
      <w:pict>
        <v:shape id="_x0000_s4097" o:spid="_x0000_s4097" o:spt="75" type="#_x0000_t75" style="position:absolute;left:0pt;margin-left:0.1pt;margin-top:-0.55pt;height:13.2pt;width:52.75pt;z-index:251659264;mso-width-relative:page;mso-height-relative:page;" o:ole="t" filled="f" o:preferrelative="t" stroked="f" coordsize="21600,21600">
          <v:path/>
          <v:fill on="f" focussize="0,0"/>
          <v:stroke on="f" joinstyle="miter"/>
          <v:imagedata r:id="rId2" o:title=""/>
          <o:lock v:ext="edit" aspectratio="t"/>
        </v:shape>
        <o:OLEObject Type="Embed" ProgID="CorelDRAW.Graphic.9" ShapeID="_x0000_s4097" DrawAspect="Content" ObjectID="_1468075725" r:id="rId1">
          <o:LockedField>false</o:LockedField>
        </o:OLEObject>
      </w:pict>
    </w:r>
    <w:r>
      <w:rPr>
        <w:rFonts w:hint="eastAsia"/>
        <w:sz w:val="21"/>
        <w:szCs w:val="21"/>
      </w:rPr>
      <w:t>安徽科达锂电装备有限公司</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line="240" w:lineRule="auto"/>
      <w:ind w:firstLine="3255" w:firstLineChars="1550"/>
      <w:jc w:val="right"/>
      <w:rPr>
        <w:sz w:val="21"/>
        <w:szCs w:val="21"/>
      </w:rPr>
    </w:pPr>
    <w:r>
      <w:rPr>
        <w:sz w:val="21"/>
        <w:u w:val="single"/>
      </w:rPr>
      <w:pict>
        <v:shape id="_x0000_s4098" o:spid="_x0000_s4098" o:spt="75" type="#_x0000_t75" style="position:absolute;left:0pt;margin-left:0.1pt;margin-top:-0.55pt;height:13.2pt;width:52.75pt;z-index:251660288;mso-width-relative:page;mso-height-relative:page;" o:ole="t" filled="f" o:preferrelative="t" stroked="f" coordsize="21600,21600">
          <v:path/>
          <v:fill on="f" focussize="0,0"/>
          <v:stroke on="f" joinstyle="miter"/>
          <v:imagedata r:id="rId2" o:title=""/>
          <o:lock v:ext="edit" aspectratio="t"/>
        </v:shape>
        <o:OLEObject Type="Embed" ProgID="CorelDRAW.Graphic.9" ShapeID="_x0000_s4098" DrawAspect="Content" ObjectID="_1468075726" r:id="rId1">
          <o:LockedField>false</o:LockedField>
        </o:OLEObject>
      </w:pict>
    </w:r>
    <w:r>
      <w:rPr>
        <w:rFonts w:hint="eastAsia"/>
        <w:sz w:val="21"/>
        <w:szCs w:val="21"/>
      </w:rPr>
      <w:t>安徽科达锂电装备有限公司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93792"/>
    <w:multiLevelType w:val="singleLevel"/>
    <w:tmpl w:val="86193792"/>
    <w:lvl w:ilvl="0" w:tentative="0">
      <w:start w:val="1"/>
      <w:numFmt w:val="decimal"/>
      <w:suff w:val="nothing"/>
      <w:lvlText w:val="（%1）"/>
      <w:lvlJc w:val="left"/>
    </w:lvl>
  </w:abstractNum>
  <w:abstractNum w:abstractNumId="1">
    <w:nsid w:val="8B1BB2A9"/>
    <w:multiLevelType w:val="singleLevel"/>
    <w:tmpl w:val="8B1BB2A9"/>
    <w:lvl w:ilvl="0" w:tentative="0">
      <w:start w:val="1"/>
      <w:numFmt w:val="decimal"/>
      <w:suff w:val="nothing"/>
      <w:lvlText w:val="（%1）"/>
      <w:lvlJc w:val="left"/>
    </w:lvl>
  </w:abstractNum>
  <w:abstractNum w:abstractNumId="2">
    <w:nsid w:val="B6F35DF8"/>
    <w:multiLevelType w:val="singleLevel"/>
    <w:tmpl w:val="B6F35DF8"/>
    <w:lvl w:ilvl="0" w:tentative="0">
      <w:start w:val="1"/>
      <w:numFmt w:val="decimal"/>
      <w:suff w:val="nothing"/>
      <w:lvlText w:val="（%1）"/>
      <w:lvlJc w:val="left"/>
    </w:lvl>
  </w:abstractNum>
  <w:abstractNum w:abstractNumId="3">
    <w:nsid w:val="BDC2519E"/>
    <w:multiLevelType w:val="singleLevel"/>
    <w:tmpl w:val="BDC2519E"/>
    <w:lvl w:ilvl="0" w:tentative="0">
      <w:start w:val="1"/>
      <w:numFmt w:val="decimal"/>
      <w:suff w:val="nothing"/>
      <w:lvlText w:val="（%1）"/>
      <w:lvlJc w:val="left"/>
    </w:lvl>
  </w:abstractNum>
  <w:abstractNum w:abstractNumId="4">
    <w:nsid w:val="C304D58B"/>
    <w:multiLevelType w:val="singleLevel"/>
    <w:tmpl w:val="C304D58B"/>
    <w:lvl w:ilvl="0" w:tentative="0">
      <w:start w:val="1"/>
      <w:numFmt w:val="decimal"/>
      <w:suff w:val="nothing"/>
      <w:lvlText w:val="（%1）"/>
      <w:lvlJc w:val="left"/>
    </w:lvl>
  </w:abstractNum>
  <w:abstractNum w:abstractNumId="5">
    <w:nsid w:val="D06CCC95"/>
    <w:multiLevelType w:val="multilevel"/>
    <w:tmpl w:val="D06CCC95"/>
    <w:lvl w:ilvl="0" w:tentative="0">
      <w:start w:val="1"/>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EB8F6623"/>
    <w:multiLevelType w:val="singleLevel"/>
    <w:tmpl w:val="EB8F6623"/>
    <w:lvl w:ilvl="0" w:tentative="0">
      <w:start w:val="1"/>
      <w:numFmt w:val="bullet"/>
      <w:lvlText w:val=""/>
      <w:lvlJc w:val="left"/>
      <w:pPr>
        <w:ind w:left="420" w:hanging="420"/>
      </w:pPr>
      <w:rPr>
        <w:rFonts w:hint="default" w:ascii="Wingdings" w:hAnsi="Wingdings"/>
      </w:rPr>
    </w:lvl>
  </w:abstractNum>
  <w:abstractNum w:abstractNumId="7">
    <w:nsid w:val="040A57B0"/>
    <w:multiLevelType w:val="singleLevel"/>
    <w:tmpl w:val="040A57B0"/>
    <w:lvl w:ilvl="0" w:tentative="0">
      <w:start w:val="1"/>
      <w:numFmt w:val="decimal"/>
      <w:suff w:val="nothing"/>
      <w:lvlText w:val="（%1）"/>
      <w:lvlJc w:val="left"/>
    </w:lvl>
  </w:abstractNum>
  <w:abstractNum w:abstractNumId="8">
    <w:nsid w:val="06900069"/>
    <w:multiLevelType w:val="multilevel"/>
    <w:tmpl w:val="06900069"/>
    <w:lvl w:ilvl="0" w:tentative="0">
      <w:start w:val="1"/>
      <w:numFmt w:val="chineseCountingThousand"/>
      <w:pStyle w:val="3"/>
      <w:lvlText w:val="%1"/>
      <w:lvlJc w:val="left"/>
      <w:pPr>
        <w:tabs>
          <w:tab w:val="left" w:pos="1135"/>
        </w:tabs>
        <w:ind w:left="1135" w:hanging="567"/>
      </w:pPr>
      <w:rPr>
        <w:rFonts w:hint="eastAsia"/>
      </w:rPr>
    </w:lvl>
    <w:lvl w:ilvl="1" w:tentative="0">
      <w:start w:val="1"/>
      <w:numFmt w:val="decimal"/>
      <w:pStyle w:val="4"/>
      <w:isLgl/>
      <w:lvlText w:val="%1.%2"/>
      <w:lvlJc w:val="left"/>
      <w:pPr>
        <w:ind w:left="1248" w:hanging="680"/>
      </w:pPr>
      <w:rPr>
        <w:rFonts w:hint="default" w:ascii="Times New Roman" w:hAnsi="Times New Roman" w:cs="Times New Roman"/>
      </w:rPr>
    </w:lvl>
    <w:lvl w:ilvl="2" w:tentative="0">
      <w:start w:val="1"/>
      <w:numFmt w:val="decimal"/>
      <w:pStyle w:val="5"/>
      <w:isLgl/>
      <w:lvlText w:val="%1.%2.%3"/>
      <w:lvlJc w:val="left"/>
      <w:pPr>
        <w:ind w:left="1248" w:hanging="680"/>
      </w:pPr>
      <w:rPr>
        <w:rFonts w:hint="eastAsia"/>
      </w:rPr>
    </w:lvl>
    <w:lvl w:ilvl="3" w:tentative="0">
      <w:start w:val="1"/>
      <w:numFmt w:val="decimal"/>
      <w:lvlText w:val="%4."/>
      <w:lvlJc w:val="left"/>
      <w:pPr>
        <w:ind w:left="2248" w:hanging="420"/>
      </w:pPr>
      <w:rPr>
        <w:rFonts w:hint="eastAsia"/>
      </w:rPr>
    </w:lvl>
    <w:lvl w:ilvl="4" w:tentative="0">
      <w:start w:val="1"/>
      <w:numFmt w:val="lowerLetter"/>
      <w:lvlText w:val="%5)"/>
      <w:lvlJc w:val="left"/>
      <w:pPr>
        <w:ind w:left="2668" w:hanging="420"/>
      </w:pPr>
      <w:rPr>
        <w:rFonts w:hint="eastAsia"/>
      </w:rPr>
    </w:lvl>
    <w:lvl w:ilvl="5" w:tentative="0">
      <w:start w:val="1"/>
      <w:numFmt w:val="lowerRoman"/>
      <w:lvlText w:val="%6."/>
      <w:lvlJc w:val="right"/>
      <w:pPr>
        <w:ind w:left="3088" w:hanging="420"/>
      </w:pPr>
      <w:rPr>
        <w:rFonts w:hint="eastAsia"/>
      </w:rPr>
    </w:lvl>
    <w:lvl w:ilvl="6" w:tentative="0">
      <w:start w:val="1"/>
      <w:numFmt w:val="decimal"/>
      <w:lvlText w:val="%7."/>
      <w:lvlJc w:val="left"/>
      <w:pPr>
        <w:ind w:left="3508" w:hanging="420"/>
      </w:pPr>
      <w:rPr>
        <w:rFonts w:hint="eastAsia"/>
      </w:rPr>
    </w:lvl>
    <w:lvl w:ilvl="7" w:tentative="0">
      <w:start w:val="1"/>
      <w:numFmt w:val="lowerLetter"/>
      <w:lvlText w:val="%8)"/>
      <w:lvlJc w:val="left"/>
      <w:pPr>
        <w:ind w:left="3928" w:hanging="420"/>
      </w:pPr>
      <w:rPr>
        <w:rFonts w:hint="eastAsia"/>
      </w:rPr>
    </w:lvl>
    <w:lvl w:ilvl="8" w:tentative="0">
      <w:start w:val="1"/>
      <w:numFmt w:val="lowerRoman"/>
      <w:lvlText w:val="%9."/>
      <w:lvlJc w:val="right"/>
      <w:pPr>
        <w:ind w:left="4348" w:hanging="420"/>
      </w:pPr>
      <w:rPr>
        <w:rFonts w:hint="eastAsia"/>
      </w:rPr>
    </w:lvl>
  </w:abstractNum>
  <w:abstractNum w:abstractNumId="9">
    <w:nsid w:val="0B52313C"/>
    <w:multiLevelType w:val="singleLevel"/>
    <w:tmpl w:val="0B52313C"/>
    <w:lvl w:ilvl="0" w:tentative="0">
      <w:start w:val="1"/>
      <w:numFmt w:val="decimal"/>
      <w:suff w:val="nothing"/>
      <w:lvlText w:val="（%1）"/>
      <w:lvlJc w:val="left"/>
    </w:lvl>
  </w:abstractNum>
  <w:abstractNum w:abstractNumId="10">
    <w:nsid w:val="178C25C1"/>
    <w:multiLevelType w:val="singleLevel"/>
    <w:tmpl w:val="178C25C1"/>
    <w:lvl w:ilvl="0" w:tentative="0">
      <w:start w:val="1"/>
      <w:numFmt w:val="decimal"/>
      <w:suff w:val="nothing"/>
      <w:lvlText w:val="（%1）"/>
      <w:lvlJc w:val="left"/>
    </w:lvl>
  </w:abstractNum>
  <w:abstractNum w:abstractNumId="11">
    <w:nsid w:val="1B276304"/>
    <w:multiLevelType w:val="multilevel"/>
    <w:tmpl w:val="1B276304"/>
    <w:lvl w:ilvl="0" w:tentative="0">
      <w:start w:val="1"/>
      <w:numFmt w:val="decimal"/>
      <w:lvlText w:val="(%1)"/>
      <w:lvlJc w:val="left"/>
      <w:pPr>
        <w:ind w:left="900" w:hanging="420"/>
      </w:pPr>
      <w:rPr>
        <w:rFonts w:hint="default" w:ascii="Times New Roman" w:hAnsi="Times New Roman" w:eastAsia="宋体" w:cs="Times New Roman"/>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30F94C6D"/>
    <w:multiLevelType w:val="singleLevel"/>
    <w:tmpl w:val="30F94C6D"/>
    <w:lvl w:ilvl="0" w:tentative="0">
      <w:start w:val="1"/>
      <w:numFmt w:val="decimal"/>
      <w:suff w:val="nothing"/>
      <w:lvlText w:val="（%1）"/>
      <w:lvlJc w:val="left"/>
    </w:lvl>
  </w:abstractNum>
  <w:abstractNum w:abstractNumId="13">
    <w:nsid w:val="325C9A83"/>
    <w:multiLevelType w:val="singleLevel"/>
    <w:tmpl w:val="325C9A83"/>
    <w:lvl w:ilvl="0" w:tentative="0">
      <w:start w:val="8"/>
      <w:numFmt w:val="decimal"/>
      <w:suff w:val="space"/>
      <w:lvlText w:val="%1."/>
      <w:lvlJc w:val="left"/>
    </w:lvl>
  </w:abstractNum>
  <w:abstractNum w:abstractNumId="14">
    <w:nsid w:val="3E7E3AFA"/>
    <w:multiLevelType w:val="multilevel"/>
    <w:tmpl w:val="3E7E3AFA"/>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5">
    <w:nsid w:val="60B961C1"/>
    <w:multiLevelType w:val="multilevel"/>
    <w:tmpl w:val="60B961C1"/>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6AA67420"/>
    <w:multiLevelType w:val="singleLevel"/>
    <w:tmpl w:val="6AA67420"/>
    <w:lvl w:ilvl="0" w:tentative="0">
      <w:start w:val="1"/>
      <w:numFmt w:val="decimal"/>
      <w:suff w:val="nothing"/>
      <w:lvlText w:val="（%1）"/>
      <w:lvlJc w:val="left"/>
    </w:lvl>
  </w:abstractNum>
  <w:abstractNum w:abstractNumId="17">
    <w:nsid w:val="6BDF1E6D"/>
    <w:multiLevelType w:val="multilevel"/>
    <w:tmpl w:val="6BDF1E6D"/>
    <w:lvl w:ilvl="0" w:tentative="0">
      <w:start w:val="1"/>
      <w:numFmt w:val="decimal"/>
      <w:lvlText w:val="(%1)"/>
      <w:lvlJc w:val="left"/>
      <w:pPr>
        <w:ind w:left="900" w:hanging="420"/>
      </w:pPr>
      <w:rPr>
        <w:rFonts w:hint="default" w:ascii="Times New Roman" w:hAnsi="Times New Roman" w:eastAsia="宋体" w:cs="Times New Roman"/>
        <w:sz w:val="24"/>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8">
    <w:nsid w:val="7EC222D6"/>
    <w:multiLevelType w:val="multilevel"/>
    <w:tmpl w:val="7EC222D6"/>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8"/>
  </w:num>
  <w:num w:numId="2">
    <w:abstractNumId w:val="5"/>
  </w:num>
  <w:num w:numId="3">
    <w:abstractNumId w:val="6"/>
  </w:num>
  <w:num w:numId="4">
    <w:abstractNumId w:val="3"/>
  </w:num>
  <w:num w:numId="5">
    <w:abstractNumId w:val="1"/>
  </w:num>
  <w:num w:numId="6">
    <w:abstractNumId w:val="2"/>
  </w:num>
  <w:num w:numId="7">
    <w:abstractNumId w:val="7"/>
  </w:num>
  <w:num w:numId="8">
    <w:abstractNumId w:val="9"/>
  </w:num>
  <w:num w:numId="9">
    <w:abstractNumId w:val="0"/>
  </w:num>
  <w:num w:numId="10">
    <w:abstractNumId w:val="4"/>
  </w:num>
  <w:num w:numId="11">
    <w:abstractNumId w:val="12"/>
  </w:num>
  <w:num w:numId="12">
    <w:abstractNumId w:val="16"/>
  </w:num>
  <w:num w:numId="13">
    <w:abstractNumId w:val="10"/>
  </w:num>
  <w:num w:numId="14">
    <w:abstractNumId w:val="17"/>
  </w:num>
  <w:num w:numId="15">
    <w:abstractNumId w:val="13"/>
  </w:num>
  <w:num w:numId="16">
    <w:abstractNumId w:val="11"/>
  </w:num>
  <w:num w:numId="17">
    <w:abstractNumId w:val="18"/>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20"/>
  <w:drawingGridVerticalSpacing w:val="163"/>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jMWRlZWMwZDA3ODUwM2QyMDA2ZjUzNDkzM2NlOTkifQ=="/>
  </w:docVars>
  <w:rsids>
    <w:rsidRoot w:val="00F65030"/>
    <w:rsid w:val="0000153E"/>
    <w:rsid w:val="00001EF0"/>
    <w:rsid w:val="00002632"/>
    <w:rsid w:val="0000394D"/>
    <w:rsid w:val="000055E8"/>
    <w:rsid w:val="000059F9"/>
    <w:rsid w:val="000062BF"/>
    <w:rsid w:val="0000682E"/>
    <w:rsid w:val="00007A92"/>
    <w:rsid w:val="00007D47"/>
    <w:rsid w:val="00011284"/>
    <w:rsid w:val="00011725"/>
    <w:rsid w:val="00011E9B"/>
    <w:rsid w:val="000123B2"/>
    <w:rsid w:val="000131BD"/>
    <w:rsid w:val="00013636"/>
    <w:rsid w:val="00013C30"/>
    <w:rsid w:val="000154CB"/>
    <w:rsid w:val="00015B1C"/>
    <w:rsid w:val="00015BD5"/>
    <w:rsid w:val="00016781"/>
    <w:rsid w:val="00021C95"/>
    <w:rsid w:val="0002227C"/>
    <w:rsid w:val="000223C8"/>
    <w:rsid w:val="00022B45"/>
    <w:rsid w:val="00022DC5"/>
    <w:rsid w:val="00023905"/>
    <w:rsid w:val="0002422A"/>
    <w:rsid w:val="000249EE"/>
    <w:rsid w:val="0002514E"/>
    <w:rsid w:val="00025F67"/>
    <w:rsid w:val="00026BB9"/>
    <w:rsid w:val="000277A4"/>
    <w:rsid w:val="00027A8A"/>
    <w:rsid w:val="0003041F"/>
    <w:rsid w:val="000308FE"/>
    <w:rsid w:val="00030AE0"/>
    <w:rsid w:val="00031E69"/>
    <w:rsid w:val="00031F72"/>
    <w:rsid w:val="000328A2"/>
    <w:rsid w:val="00032C2E"/>
    <w:rsid w:val="00033EAD"/>
    <w:rsid w:val="000341F2"/>
    <w:rsid w:val="00035572"/>
    <w:rsid w:val="00035A92"/>
    <w:rsid w:val="00035AAD"/>
    <w:rsid w:val="00037371"/>
    <w:rsid w:val="00037A9E"/>
    <w:rsid w:val="0004135F"/>
    <w:rsid w:val="00041EFC"/>
    <w:rsid w:val="000439E7"/>
    <w:rsid w:val="00046DC9"/>
    <w:rsid w:val="00047424"/>
    <w:rsid w:val="00047958"/>
    <w:rsid w:val="000507B8"/>
    <w:rsid w:val="00052D97"/>
    <w:rsid w:val="00053876"/>
    <w:rsid w:val="000539E5"/>
    <w:rsid w:val="00054FD5"/>
    <w:rsid w:val="000559DE"/>
    <w:rsid w:val="00057A4F"/>
    <w:rsid w:val="00060246"/>
    <w:rsid w:val="0006094A"/>
    <w:rsid w:val="00061EAA"/>
    <w:rsid w:val="0006214F"/>
    <w:rsid w:val="00062FC4"/>
    <w:rsid w:val="000656F2"/>
    <w:rsid w:val="000657A9"/>
    <w:rsid w:val="0006693B"/>
    <w:rsid w:val="000678BF"/>
    <w:rsid w:val="000706F5"/>
    <w:rsid w:val="00071244"/>
    <w:rsid w:val="000720CE"/>
    <w:rsid w:val="000726AC"/>
    <w:rsid w:val="000743D3"/>
    <w:rsid w:val="00074A2F"/>
    <w:rsid w:val="000753C2"/>
    <w:rsid w:val="000763B2"/>
    <w:rsid w:val="0007676D"/>
    <w:rsid w:val="00076C51"/>
    <w:rsid w:val="00080302"/>
    <w:rsid w:val="00080F55"/>
    <w:rsid w:val="00081B3D"/>
    <w:rsid w:val="00081C3C"/>
    <w:rsid w:val="0008338F"/>
    <w:rsid w:val="00083747"/>
    <w:rsid w:val="000851B5"/>
    <w:rsid w:val="00085D97"/>
    <w:rsid w:val="00086C48"/>
    <w:rsid w:val="00086C77"/>
    <w:rsid w:val="00087D9F"/>
    <w:rsid w:val="00090E5B"/>
    <w:rsid w:val="000936F6"/>
    <w:rsid w:val="00095545"/>
    <w:rsid w:val="000959A8"/>
    <w:rsid w:val="0009634A"/>
    <w:rsid w:val="000A0C33"/>
    <w:rsid w:val="000A0EA0"/>
    <w:rsid w:val="000A2FB2"/>
    <w:rsid w:val="000A48DE"/>
    <w:rsid w:val="000A50E1"/>
    <w:rsid w:val="000A5FBD"/>
    <w:rsid w:val="000A6B3B"/>
    <w:rsid w:val="000A7234"/>
    <w:rsid w:val="000A79B1"/>
    <w:rsid w:val="000B0F80"/>
    <w:rsid w:val="000B4F40"/>
    <w:rsid w:val="000B547F"/>
    <w:rsid w:val="000B5FF9"/>
    <w:rsid w:val="000B6067"/>
    <w:rsid w:val="000B63AB"/>
    <w:rsid w:val="000C02C8"/>
    <w:rsid w:val="000C0603"/>
    <w:rsid w:val="000C0C03"/>
    <w:rsid w:val="000C1ACF"/>
    <w:rsid w:val="000C2089"/>
    <w:rsid w:val="000C3479"/>
    <w:rsid w:val="000C3FA0"/>
    <w:rsid w:val="000C5EB6"/>
    <w:rsid w:val="000C5FEC"/>
    <w:rsid w:val="000C664D"/>
    <w:rsid w:val="000C691A"/>
    <w:rsid w:val="000D10FD"/>
    <w:rsid w:val="000D48EF"/>
    <w:rsid w:val="000E0DD7"/>
    <w:rsid w:val="000E18E7"/>
    <w:rsid w:val="000E2249"/>
    <w:rsid w:val="000E2422"/>
    <w:rsid w:val="000E2A3A"/>
    <w:rsid w:val="000E2B2F"/>
    <w:rsid w:val="000E3788"/>
    <w:rsid w:val="000E417E"/>
    <w:rsid w:val="000E7838"/>
    <w:rsid w:val="000E7953"/>
    <w:rsid w:val="000F060E"/>
    <w:rsid w:val="000F08BB"/>
    <w:rsid w:val="000F13FB"/>
    <w:rsid w:val="000F1D0F"/>
    <w:rsid w:val="000F1FE6"/>
    <w:rsid w:val="000F4311"/>
    <w:rsid w:val="000F543C"/>
    <w:rsid w:val="000F5E55"/>
    <w:rsid w:val="000F6349"/>
    <w:rsid w:val="000F66BB"/>
    <w:rsid w:val="000F671E"/>
    <w:rsid w:val="000F6D5A"/>
    <w:rsid w:val="000F75DA"/>
    <w:rsid w:val="00100509"/>
    <w:rsid w:val="0010067C"/>
    <w:rsid w:val="00102030"/>
    <w:rsid w:val="0010500F"/>
    <w:rsid w:val="00106786"/>
    <w:rsid w:val="00107103"/>
    <w:rsid w:val="00107246"/>
    <w:rsid w:val="00110607"/>
    <w:rsid w:val="00111066"/>
    <w:rsid w:val="0011320B"/>
    <w:rsid w:val="001156BD"/>
    <w:rsid w:val="001161CC"/>
    <w:rsid w:val="0011643C"/>
    <w:rsid w:val="00116D6A"/>
    <w:rsid w:val="001172FE"/>
    <w:rsid w:val="001175A0"/>
    <w:rsid w:val="00117B17"/>
    <w:rsid w:val="00117CCA"/>
    <w:rsid w:val="00117E83"/>
    <w:rsid w:val="00122000"/>
    <w:rsid w:val="001229D2"/>
    <w:rsid w:val="00122A4A"/>
    <w:rsid w:val="001243B7"/>
    <w:rsid w:val="001244C4"/>
    <w:rsid w:val="001249EE"/>
    <w:rsid w:val="001266D1"/>
    <w:rsid w:val="00126A9C"/>
    <w:rsid w:val="00127296"/>
    <w:rsid w:val="00130B7A"/>
    <w:rsid w:val="00131C89"/>
    <w:rsid w:val="001341D2"/>
    <w:rsid w:val="00134883"/>
    <w:rsid w:val="00135A51"/>
    <w:rsid w:val="00137BE6"/>
    <w:rsid w:val="00140215"/>
    <w:rsid w:val="00140CD6"/>
    <w:rsid w:val="00141508"/>
    <w:rsid w:val="00141689"/>
    <w:rsid w:val="001417E1"/>
    <w:rsid w:val="00142CD6"/>
    <w:rsid w:val="00143FBD"/>
    <w:rsid w:val="00145329"/>
    <w:rsid w:val="0014667F"/>
    <w:rsid w:val="00146B53"/>
    <w:rsid w:val="001477D0"/>
    <w:rsid w:val="00147FC0"/>
    <w:rsid w:val="001501BF"/>
    <w:rsid w:val="001503CC"/>
    <w:rsid w:val="0015074C"/>
    <w:rsid w:val="0015168D"/>
    <w:rsid w:val="00152C05"/>
    <w:rsid w:val="00152DDF"/>
    <w:rsid w:val="001539F8"/>
    <w:rsid w:val="0015451A"/>
    <w:rsid w:val="00156047"/>
    <w:rsid w:val="0015667B"/>
    <w:rsid w:val="001577C0"/>
    <w:rsid w:val="00160519"/>
    <w:rsid w:val="001639DE"/>
    <w:rsid w:val="00163E5A"/>
    <w:rsid w:val="00166136"/>
    <w:rsid w:val="001701E0"/>
    <w:rsid w:val="001703D7"/>
    <w:rsid w:val="00170D4A"/>
    <w:rsid w:val="0017141A"/>
    <w:rsid w:val="00171A31"/>
    <w:rsid w:val="00171F19"/>
    <w:rsid w:val="00172403"/>
    <w:rsid w:val="00172AE8"/>
    <w:rsid w:val="00173209"/>
    <w:rsid w:val="00173296"/>
    <w:rsid w:val="00174E13"/>
    <w:rsid w:val="00176547"/>
    <w:rsid w:val="001765C8"/>
    <w:rsid w:val="00177E82"/>
    <w:rsid w:val="00177FF5"/>
    <w:rsid w:val="0018130F"/>
    <w:rsid w:val="00181764"/>
    <w:rsid w:val="00181A95"/>
    <w:rsid w:val="00184770"/>
    <w:rsid w:val="00184FF5"/>
    <w:rsid w:val="001855FA"/>
    <w:rsid w:val="0018595F"/>
    <w:rsid w:val="00185C84"/>
    <w:rsid w:val="0018626D"/>
    <w:rsid w:val="001874A5"/>
    <w:rsid w:val="001879EC"/>
    <w:rsid w:val="0019049B"/>
    <w:rsid w:val="00190A33"/>
    <w:rsid w:val="0019175D"/>
    <w:rsid w:val="00192134"/>
    <w:rsid w:val="001928C8"/>
    <w:rsid w:val="00192D98"/>
    <w:rsid w:val="00194059"/>
    <w:rsid w:val="001944F1"/>
    <w:rsid w:val="001945BD"/>
    <w:rsid w:val="001955EE"/>
    <w:rsid w:val="00195A48"/>
    <w:rsid w:val="00195D27"/>
    <w:rsid w:val="00195F07"/>
    <w:rsid w:val="00196FE2"/>
    <w:rsid w:val="001A0376"/>
    <w:rsid w:val="001A2549"/>
    <w:rsid w:val="001A49BF"/>
    <w:rsid w:val="001A5026"/>
    <w:rsid w:val="001A54AB"/>
    <w:rsid w:val="001A55AE"/>
    <w:rsid w:val="001A5B15"/>
    <w:rsid w:val="001A5EAE"/>
    <w:rsid w:val="001A6744"/>
    <w:rsid w:val="001A7889"/>
    <w:rsid w:val="001B1CC7"/>
    <w:rsid w:val="001B1F74"/>
    <w:rsid w:val="001B23B6"/>
    <w:rsid w:val="001B2DCD"/>
    <w:rsid w:val="001B30E5"/>
    <w:rsid w:val="001B555B"/>
    <w:rsid w:val="001B5D2A"/>
    <w:rsid w:val="001B71F8"/>
    <w:rsid w:val="001B730E"/>
    <w:rsid w:val="001C07C4"/>
    <w:rsid w:val="001C1378"/>
    <w:rsid w:val="001C2A35"/>
    <w:rsid w:val="001C4728"/>
    <w:rsid w:val="001C5287"/>
    <w:rsid w:val="001C60B7"/>
    <w:rsid w:val="001C7381"/>
    <w:rsid w:val="001C7B4F"/>
    <w:rsid w:val="001D03DC"/>
    <w:rsid w:val="001D19A0"/>
    <w:rsid w:val="001D19AA"/>
    <w:rsid w:val="001D1CA9"/>
    <w:rsid w:val="001D279A"/>
    <w:rsid w:val="001D4AC8"/>
    <w:rsid w:val="001D4F5B"/>
    <w:rsid w:val="001D74EF"/>
    <w:rsid w:val="001D770C"/>
    <w:rsid w:val="001E069A"/>
    <w:rsid w:val="001E0D88"/>
    <w:rsid w:val="001E14D3"/>
    <w:rsid w:val="001E22EC"/>
    <w:rsid w:val="001E4323"/>
    <w:rsid w:val="001E466F"/>
    <w:rsid w:val="001E46B9"/>
    <w:rsid w:val="001E5417"/>
    <w:rsid w:val="001E6452"/>
    <w:rsid w:val="001E67A8"/>
    <w:rsid w:val="001E75BD"/>
    <w:rsid w:val="001F0602"/>
    <w:rsid w:val="001F1B1A"/>
    <w:rsid w:val="001F213C"/>
    <w:rsid w:val="001F21E3"/>
    <w:rsid w:val="001F29C6"/>
    <w:rsid w:val="001F2AEE"/>
    <w:rsid w:val="001F2DF8"/>
    <w:rsid w:val="001F2F8D"/>
    <w:rsid w:val="001F31C7"/>
    <w:rsid w:val="001F31F9"/>
    <w:rsid w:val="001F3BE4"/>
    <w:rsid w:val="001F4E57"/>
    <w:rsid w:val="001F6A12"/>
    <w:rsid w:val="001F72EC"/>
    <w:rsid w:val="001F7977"/>
    <w:rsid w:val="00201169"/>
    <w:rsid w:val="00201FEF"/>
    <w:rsid w:val="00202AD9"/>
    <w:rsid w:val="002036C7"/>
    <w:rsid w:val="00204A34"/>
    <w:rsid w:val="00204BBF"/>
    <w:rsid w:val="00204FDA"/>
    <w:rsid w:val="00205085"/>
    <w:rsid w:val="00212B2D"/>
    <w:rsid w:val="00214874"/>
    <w:rsid w:val="00214C49"/>
    <w:rsid w:val="002150B7"/>
    <w:rsid w:val="00215D23"/>
    <w:rsid w:val="00215D85"/>
    <w:rsid w:val="00216D59"/>
    <w:rsid w:val="00216DBC"/>
    <w:rsid w:val="0022073D"/>
    <w:rsid w:val="00220A96"/>
    <w:rsid w:val="00220FE2"/>
    <w:rsid w:val="002212E6"/>
    <w:rsid w:val="002216A4"/>
    <w:rsid w:val="0022179A"/>
    <w:rsid w:val="0022211F"/>
    <w:rsid w:val="00222406"/>
    <w:rsid w:val="0022603F"/>
    <w:rsid w:val="00226A96"/>
    <w:rsid w:val="00226E46"/>
    <w:rsid w:val="0022704C"/>
    <w:rsid w:val="002271EA"/>
    <w:rsid w:val="00230AC5"/>
    <w:rsid w:val="002317A2"/>
    <w:rsid w:val="00233050"/>
    <w:rsid w:val="00233660"/>
    <w:rsid w:val="00234025"/>
    <w:rsid w:val="0023403D"/>
    <w:rsid w:val="0023439B"/>
    <w:rsid w:val="00234552"/>
    <w:rsid w:val="00234DBC"/>
    <w:rsid w:val="00234E22"/>
    <w:rsid w:val="0023504D"/>
    <w:rsid w:val="0023545D"/>
    <w:rsid w:val="002355F3"/>
    <w:rsid w:val="00235709"/>
    <w:rsid w:val="00236345"/>
    <w:rsid w:val="00236FDC"/>
    <w:rsid w:val="002433B2"/>
    <w:rsid w:val="0024393A"/>
    <w:rsid w:val="0024471F"/>
    <w:rsid w:val="00245A8F"/>
    <w:rsid w:val="00245D7B"/>
    <w:rsid w:val="00246BFA"/>
    <w:rsid w:val="002500E1"/>
    <w:rsid w:val="002508D4"/>
    <w:rsid w:val="00252037"/>
    <w:rsid w:val="0025207E"/>
    <w:rsid w:val="00252ED3"/>
    <w:rsid w:val="002540B8"/>
    <w:rsid w:val="00254453"/>
    <w:rsid w:val="00255D43"/>
    <w:rsid w:val="00256219"/>
    <w:rsid w:val="0025677B"/>
    <w:rsid w:val="002567D0"/>
    <w:rsid w:val="0026159C"/>
    <w:rsid w:val="00262934"/>
    <w:rsid w:val="00262DC5"/>
    <w:rsid w:val="0026301E"/>
    <w:rsid w:val="00264240"/>
    <w:rsid w:val="002644AD"/>
    <w:rsid w:val="00266845"/>
    <w:rsid w:val="0026697B"/>
    <w:rsid w:val="0027018D"/>
    <w:rsid w:val="0027079B"/>
    <w:rsid w:val="002710A3"/>
    <w:rsid w:val="00271CBD"/>
    <w:rsid w:val="00271DE2"/>
    <w:rsid w:val="00274840"/>
    <w:rsid w:val="00275364"/>
    <w:rsid w:val="00275538"/>
    <w:rsid w:val="002759D8"/>
    <w:rsid w:val="00276EB9"/>
    <w:rsid w:val="002775BA"/>
    <w:rsid w:val="00277F55"/>
    <w:rsid w:val="00281B68"/>
    <w:rsid w:val="00282763"/>
    <w:rsid w:val="00291DD7"/>
    <w:rsid w:val="00293020"/>
    <w:rsid w:val="002956A3"/>
    <w:rsid w:val="00295AF9"/>
    <w:rsid w:val="00295F8E"/>
    <w:rsid w:val="0029632F"/>
    <w:rsid w:val="002A1007"/>
    <w:rsid w:val="002A1F1B"/>
    <w:rsid w:val="002A24AA"/>
    <w:rsid w:val="002A3C62"/>
    <w:rsid w:val="002A4D1D"/>
    <w:rsid w:val="002A57CD"/>
    <w:rsid w:val="002A58A9"/>
    <w:rsid w:val="002A6890"/>
    <w:rsid w:val="002A757A"/>
    <w:rsid w:val="002A7A8A"/>
    <w:rsid w:val="002B0E6E"/>
    <w:rsid w:val="002B1402"/>
    <w:rsid w:val="002B1E6E"/>
    <w:rsid w:val="002B2538"/>
    <w:rsid w:val="002B2C6C"/>
    <w:rsid w:val="002B59DE"/>
    <w:rsid w:val="002B6915"/>
    <w:rsid w:val="002B7B50"/>
    <w:rsid w:val="002B7C49"/>
    <w:rsid w:val="002C2C1E"/>
    <w:rsid w:val="002C36B9"/>
    <w:rsid w:val="002C446A"/>
    <w:rsid w:val="002C5297"/>
    <w:rsid w:val="002C619D"/>
    <w:rsid w:val="002C709C"/>
    <w:rsid w:val="002C7247"/>
    <w:rsid w:val="002C7BBA"/>
    <w:rsid w:val="002D1610"/>
    <w:rsid w:val="002D22BE"/>
    <w:rsid w:val="002E0431"/>
    <w:rsid w:val="002E0AC0"/>
    <w:rsid w:val="002E0B87"/>
    <w:rsid w:val="002E0E78"/>
    <w:rsid w:val="002E1144"/>
    <w:rsid w:val="002E135A"/>
    <w:rsid w:val="002E490E"/>
    <w:rsid w:val="002E7C60"/>
    <w:rsid w:val="002F04AF"/>
    <w:rsid w:val="002F1DC4"/>
    <w:rsid w:val="002F1EEA"/>
    <w:rsid w:val="002F3D8C"/>
    <w:rsid w:val="002F6631"/>
    <w:rsid w:val="0030188E"/>
    <w:rsid w:val="003027BF"/>
    <w:rsid w:val="003030D6"/>
    <w:rsid w:val="003051BD"/>
    <w:rsid w:val="00305CD9"/>
    <w:rsid w:val="00307969"/>
    <w:rsid w:val="003105E3"/>
    <w:rsid w:val="00312228"/>
    <w:rsid w:val="003124E8"/>
    <w:rsid w:val="00314B96"/>
    <w:rsid w:val="0031571C"/>
    <w:rsid w:val="00315A4B"/>
    <w:rsid w:val="00320882"/>
    <w:rsid w:val="0032138A"/>
    <w:rsid w:val="00321AFE"/>
    <w:rsid w:val="003221A0"/>
    <w:rsid w:val="003225A6"/>
    <w:rsid w:val="003233C9"/>
    <w:rsid w:val="00323419"/>
    <w:rsid w:val="00324495"/>
    <w:rsid w:val="003248A6"/>
    <w:rsid w:val="00326256"/>
    <w:rsid w:val="00327AC0"/>
    <w:rsid w:val="00327C6E"/>
    <w:rsid w:val="0033000A"/>
    <w:rsid w:val="0033058A"/>
    <w:rsid w:val="00330AC3"/>
    <w:rsid w:val="00330BEF"/>
    <w:rsid w:val="00332ADE"/>
    <w:rsid w:val="003331A3"/>
    <w:rsid w:val="00334514"/>
    <w:rsid w:val="00335221"/>
    <w:rsid w:val="00336398"/>
    <w:rsid w:val="0033685E"/>
    <w:rsid w:val="0033751E"/>
    <w:rsid w:val="003401E3"/>
    <w:rsid w:val="00341596"/>
    <w:rsid w:val="00342BF3"/>
    <w:rsid w:val="00344A34"/>
    <w:rsid w:val="00344B37"/>
    <w:rsid w:val="00345EA3"/>
    <w:rsid w:val="003464C0"/>
    <w:rsid w:val="00346993"/>
    <w:rsid w:val="00347401"/>
    <w:rsid w:val="00347860"/>
    <w:rsid w:val="00350047"/>
    <w:rsid w:val="003502C2"/>
    <w:rsid w:val="003504C1"/>
    <w:rsid w:val="0035085F"/>
    <w:rsid w:val="00350E7B"/>
    <w:rsid w:val="00350F0B"/>
    <w:rsid w:val="00352035"/>
    <w:rsid w:val="00353575"/>
    <w:rsid w:val="00354403"/>
    <w:rsid w:val="00354C06"/>
    <w:rsid w:val="00355622"/>
    <w:rsid w:val="00355F3C"/>
    <w:rsid w:val="003566F0"/>
    <w:rsid w:val="00356948"/>
    <w:rsid w:val="00356DDF"/>
    <w:rsid w:val="00356E51"/>
    <w:rsid w:val="0035713A"/>
    <w:rsid w:val="003579E1"/>
    <w:rsid w:val="00360351"/>
    <w:rsid w:val="0036056E"/>
    <w:rsid w:val="00360794"/>
    <w:rsid w:val="003610E8"/>
    <w:rsid w:val="003617BE"/>
    <w:rsid w:val="0036219A"/>
    <w:rsid w:val="003624DF"/>
    <w:rsid w:val="00364108"/>
    <w:rsid w:val="00364C94"/>
    <w:rsid w:val="00365373"/>
    <w:rsid w:val="00365484"/>
    <w:rsid w:val="00365954"/>
    <w:rsid w:val="003663D5"/>
    <w:rsid w:val="0037206D"/>
    <w:rsid w:val="00373B9B"/>
    <w:rsid w:val="00373E7B"/>
    <w:rsid w:val="003752D8"/>
    <w:rsid w:val="003757D0"/>
    <w:rsid w:val="003763FB"/>
    <w:rsid w:val="003768B4"/>
    <w:rsid w:val="00376A1E"/>
    <w:rsid w:val="00376B7E"/>
    <w:rsid w:val="00377CA6"/>
    <w:rsid w:val="00381A09"/>
    <w:rsid w:val="003841A3"/>
    <w:rsid w:val="00385563"/>
    <w:rsid w:val="00386084"/>
    <w:rsid w:val="00386B5D"/>
    <w:rsid w:val="00387A9F"/>
    <w:rsid w:val="0039153F"/>
    <w:rsid w:val="00393609"/>
    <w:rsid w:val="003947F2"/>
    <w:rsid w:val="003956AA"/>
    <w:rsid w:val="00396787"/>
    <w:rsid w:val="00396E98"/>
    <w:rsid w:val="003975E5"/>
    <w:rsid w:val="00397B92"/>
    <w:rsid w:val="00397F02"/>
    <w:rsid w:val="003A012B"/>
    <w:rsid w:val="003A0EE2"/>
    <w:rsid w:val="003A2D44"/>
    <w:rsid w:val="003A364A"/>
    <w:rsid w:val="003A436F"/>
    <w:rsid w:val="003A4451"/>
    <w:rsid w:val="003A5497"/>
    <w:rsid w:val="003A55F8"/>
    <w:rsid w:val="003B02B1"/>
    <w:rsid w:val="003B2C36"/>
    <w:rsid w:val="003B3C11"/>
    <w:rsid w:val="003B3E82"/>
    <w:rsid w:val="003B3F2B"/>
    <w:rsid w:val="003B3F82"/>
    <w:rsid w:val="003B3FA0"/>
    <w:rsid w:val="003B544D"/>
    <w:rsid w:val="003B6FD1"/>
    <w:rsid w:val="003B7671"/>
    <w:rsid w:val="003B787E"/>
    <w:rsid w:val="003C010F"/>
    <w:rsid w:val="003C0B8C"/>
    <w:rsid w:val="003C17C5"/>
    <w:rsid w:val="003C3B67"/>
    <w:rsid w:val="003C50B6"/>
    <w:rsid w:val="003C5E62"/>
    <w:rsid w:val="003C6C22"/>
    <w:rsid w:val="003C76C5"/>
    <w:rsid w:val="003D0739"/>
    <w:rsid w:val="003D1E31"/>
    <w:rsid w:val="003D266E"/>
    <w:rsid w:val="003D2B61"/>
    <w:rsid w:val="003D2C8B"/>
    <w:rsid w:val="003D5235"/>
    <w:rsid w:val="003D6439"/>
    <w:rsid w:val="003D6D17"/>
    <w:rsid w:val="003D7CFE"/>
    <w:rsid w:val="003D7D6A"/>
    <w:rsid w:val="003E0B7E"/>
    <w:rsid w:val="003E17D2"/>
    <w:rsid w:val="003E2ACF"/>
    <w:rsid w:val="003E3768"/>
    <w:rsid w:val="003E4B2A"/>
    <w:rsid w:val="003E4DEC"/>
    <w:rsid w:val="003F005A"/>
    <w:rsid w:val="003F0619"/>
    <w:rsid w:val="003F08A8"/>
    <w:rsid w:val="003F09A4"/>
    <w:rsid w:val="003F0BE1"/>
    <w:rsid w:val="003F17E9"/>
    <w:rsid w:val="003F23BF"/>
    <w:rsid w:val="003F3B13"/>
    <w:rsid w:val="003F4025"/>
    <w:rsid w:val="003F4BA4"/>
    <w:rsid w:val="003F4E73"/>
    <w:rsid w:val="003F67C5"/>
    <w:rsid w:val="003F7627"/>
    <w:rsid w:val="003F7C7C"/>
    <w:rsid w:val="004003A7"/>
    <w:rsid w:val="00400EC3"/>
    <w:rsid w:val="0040131A"/>
    <w:rsid w:val="004035FA"/>
    <w:rsid w:val="00403DEE"/>
    <w:rsid w:val="00404779"/>
    <w:rsid w:val="00405009"/>
    <w:rsid w:val="00406313"/>
    <w:rsid w:val="00407307"/>
    <w:rsid w:val="00412B79"/>
    <w:rsid w:val="00413652"/>
    <w:rsid w:val="00415F2D"/>
    <w:rsid w:val="00416160"/>
    <w:rsid w:val="0041666A"/>
    <w:rsid w:val="00416A8D"/>
    <w:rsid w:val="00420555"/>
    <w:rsid w:val="00420E9A"/>
    <w:rsid w:val="00421994"/>
    <w:rsid w:val="00423DD3"/>
    <w:rsid w:val="00424DEB"/>
    <w:rsid w:val="00427234"/>
    <w:rsid w:val="00427698"/>
    <w:rsid w:val="00430D29"/>
    <w:rsid w:val="00433812"/>
    <w:rsid w:val="004338D6"/>
    <w:rsid w:val="0043439D"/>
    <w:rsid w:val="00435220"/>
    <w:rsid w:val="004352EB"/>
    <w:rsid w:val="00437588"/>
    <w:rsid w:val="00437650"/>
    <w:rsid w:val="00437703"/>
    <w:rsid w:val="00441306"/>
    <w:rsid w:val="00442203"/>
    <w:rsid w:val="00444839"/>
    <w:rsid w:val="00444B64"/>
    <w:rsid w:val="00444CF0"/>
    <w:rsid w:val="00445572"/>
    <w:rsid w:val="00446211"/>
    <w:rsid w:val="0044671C"/>
    <w:rsid w:val="004502B1"/>
    <w:rsid w:val="00450745"/>
    <w:rsid w:val="0045284D"/>
    <w:rsid w:val="00453C4D"/>
    <w:rsid w:val="00455261"/>
    <w:rsid w:val="004555AC"/>
    <w:rsid w:val="00461027"/>
    <w:rsid w:val="00461ADE"/>
    <w:rsid w:val="004633AF"/>
    <w:rsid w:val="00464177"/>
    <w:rsid w:val="0046491E"/>
    <w:rsid w:val="00464E54"/>
    <w:rsid w:val="00466459"/>
    <w:rsid w:val="00466C7C"/>
    <w:rsid w:val="00466CA9"/>
    <w:rsid w:val="00466FD7"/>
    <w:rsid w:val="004675B7"/>
    <w:rsid w:val="004709C1"/>
    <w:rsid w:val="004710A7"/>
    <w:rsid w:val="00471C55"/>
    <w:rsid w:val="0047260F"/>
    <w:rsid w:val="00473748"/>
    <w:rsid w:val="0047578B"/>
    <w:rsid w:val="00476060"/>
    <w:rsid w:val="00476818"/>
    <w:rsid w:val="004769FF"/>
    <w:rsid w:val="00476EC4"/>
    <w:rsid w:val="004821BB"/>
    <w:rsid w:val="00484FCA"/>
    <w:rsid w:val="0048755D"/>
    <w:rsid w:val="00490FDA"/>
    <w:rsid w:val="004912A0"/>
    <w:rsid w:val="00491BD8"/>
    <w:rsid w:val="00492735"/>
    <w:rsid w:val="00493B29"/>
    <w:rsid w:val="00494FA1"/>
    <w:rsid w:val="00495DC2"/>
    <w:rsid w:val="00497A9F"/>
    <w:rsid w:val="004A13C7"/>
    <w:rsid w:val="004A1550"/>
    <w:rsid w:val="004A2910"/>
    <w:rsid w:val="004A2F78"/>
    <w:rsid w:val="004A4AAC"/>
    <w:rsid w:val="004A50B9"/>
    <w:rsid w:val="004A51D5"/>
    <w:rsid w:val="004A6523"/>
    <w:rsid w:val="004A72EF"/>
    <w:rsid w:val="004B0C29"/>
    <w:rsid w:val="004B0F1B"/>
    <w:rsid w:val="004B1531"/>
    <w:rsid w:val="004B1C89"/>
    <w:rsid w:val="004B1DB7"/>
    <w:rsid w:val="004B2193"/>
    <w:rsid w:val="004B2690"/>
    <w:rsid w:val="004B29DE"/>
    <w:rsid w:val="004B2A9D"/>
    <w:rsid w:val="004B3B1F"/>
    <w:rsid w:val="004B3C0D"/>
    <w:rsid w:val="004B4792"/>
    <w:rsid w:val="004B4952"/>
    <w:rsid w:val="004B5C12"/>
    <w:rsid w:val="004B5D4A"/>
    <w:rsid w:val="004B77D4"/>
    <w:rsid w:val="004C10FE"/>
    <w:rsid w:val="004C191C"/>
    <w:rsid w:val="004C1A8A"/>
    <w:rsid w:val="004C2922"/>
    <w:rsid w:val="004C4654"/>
    <w:rsid w:val="004C5FA4"/>
    <w:rsid w:val="004C64BA"/>
    <w:rsid w:val="004C7049"/>
    <w:rsid w:val="004C7BA4"/>
    <w:rsid w:val="004D0606"/>
    <w:rsid w:val="004D0989"/>
    <w:rsid w:val="004D0C8F"/>
    <w:rsid w:val="004D1762"/>
    <w:rsid w:val="004D314E"/>
    <w:rsid w:val="004D3470"/>
    <w:rsid w:val="004D3F0C"/>
    <w:rsid w:val="004D501A"/>
    <w:rsid w:val="004D7F41"/>
    <w:rsid w:val="004E1FE1"/>
    <w:rsid w:val="004E2656"/>
    <w:rsid w:val="004E31A3"/>
    <w:rsid w:val="004E35E0"/>
    <w:rsid w:val="004E398C"/>
    <w:rsid w:val="004E4C43"/>
    <w:rsid w:val="004E520B"/>
    <w:rsid w:val="004E6CA5"/>
    <w:rsid w:val="004E78B5"/>
    <w:rsid w:val="004E7934"/>
    <w:rsid w:val="004E7B63"/>
    <w:rsid w:val="004E7C3C"/>
    <w:rsid w:val="004F0C4D"/>
    <w:rsid w:val="004F0E7E"/>
    <w:rsid w:val="004F1150"/>
    <w:rsid w:val="004F1B97"/>
    <w:rsid w:val="004F5040"/>
    <w:rsid w:val="004F5B01"/>
    <w:rsid w:val="0050060C"/>
    <w:rsid w:val="00500A54"/>
    <w:rsid w:val="00501753"/>
    <w:rsid w:val="005018DB"/>
    <w:rsid w:val="00501E7F"/>
    <w:rsid w:val="005022E5"/>
    <w:rsid w:val="005023B3"/>
    <w:rsid w:val="005028F3"/>
    <w:rsid w:val="00502D22"/>
    <w:rsid w:val="00503399"/>
    <w:rsid w:val="00504230"/>
    <w:rsid w:val="005057FD"/>
    <w:rsid w:val="00505F3C"/>
    <w:rsid w:val="00506530"/>
    <w:rsid w:val="00506CC2"/>
    <w:rsid w:val="00511419"/>
    <w:rsid w:val="00511748"/>
    <w:rsid w:val="0051299B"/>
    <w:rsid w:val="00515DA4"/>
    <w:rsid w:val="00517A72"/>
    <w:rsid w:val="005236D9"/>
    <w:rsid w:val="0052448A"/>
    <w:rsid w:val="005250A7"/>
    <w:rsid w:val="00525461"/>
    <w:rsid w:val="00525EF9"/>
    <w:rsid w:val="005260C6"/>
    <w:rsid w:val="00527ED4"/>
    <w:rsid w:val="00530A6F"/>
    <w:rsid w:val="005327B2"/>
    <w:rsid w:val="00533061"/>
    <w:rsid w:val="00535041"/>
    <w:rsid w:val="005358A4"/>
    <w:rsid w:val="00536728"/>
    <w:rsid w:val="00540876"/>
    <w:rsid w:val="00540888"/>
    <w:rsid w:val="00541748"/>
    <w:rsid w:val="00542382"/>
    <w:rsid w:val="00542DF9"/>
    <w:rsid w:val="005433AA"/>
    <w:rsid w:val="00543FCB"/>
    <w:rsid w:val="00545192"/>
    <w:rsid w:val="00546DFD"/>
    <w:rsid w:val="00547689"/>
    <w:rsid w:val="00550016"/>
    <w:rsid w:val="00551353"/>
    <w:rsid w:val="0055140D"/>
    <w:rsid w:val="00551A7E"/>
    <w:rsid w:val="005521C2"/>
    <w:rsid w:val="00552EFF"/>
    <w:rsid w:val="00554B0D"/>
    <w:rsid w:val="00554D92"/>
    <w:rsid w:val="00554EB7"/>
    <w:rsid w:val="00555420"/>
    <w:rsid w:val="00555852"/>
    <w:rsid w:val="00557627"/>
    <w:rsid w:val="00557789"/>
    <w:rsid w:val="00557D16"/>
    <w:rsid w:val="00560830"/>
    <w:rsid w:val="005611DA"/>
    <w:rsid w:val="005624D0"/>
    <w:rsid w:val="0056290B"/>
    <w:rsid w:val="00563E95"/>
    <w:rsid w:val="00566F7A"/>
    <w:rsid w:val="0056715F"/>
    <w:rsid w:val="0056743C"/>
    <w:rsid w:val="00567823"/>
    <w:rsid w:val="00567FE5"/>
    <w:rsid w:val="005719F2"/>
    <w:rsid w:val="005720DD"/>
    <w:rsid w:val="005732F0"/>
    <w:rsid w:val="0057342B"/>
    <w:rsid w:val="00574F0E"/>
    <w:rsid w:val="00575028"/>
    <w:rsid w:val="005756A3"/>
    <w:rsid w:val="00576CCD"/>
    <w:rsid w:val="00580542"/>
    <w:rsid w:val="0058080A"/>
    <w:rsid w:val="00581720"/>
    <w:rsid w:val="00583FDE"/>
    <w:rsid w:val="005844B5"/>
    <w:rsid w:val="0058465F"/>
    <w:rsid w:val="005846C0"/>
    <w:rsid w:val="00584B3C"/>
    <w:rsid w:val="00585C62"/>
    <w:rsid w:val="00585E76"/>
    <w:rsid w:val="00590033"/>
    <w:rsid w:val="0059463E"/>
    <w:rsid w:val="005958ED"/>
    <w:rsid w:val="0059619A"/>
    <w:rsid w:val="00597C5C"/>
    <w:rsid w:val="005A4082"/>
    <w:rsid w:val="005A4626"/>
    <w:rsid w:val="005A546A"/>
    <w:rsid w:val="005A5F66"/>
    <w:rsid w:val="005A6865"/>
    <w:rsid w:val="005A7648"/>
    <w:rsid w:val="005B003A"/>
    <w:rsid w:val="005B1979"/>
    <w:rsid w:val="005B229C"/>
    <w:rsid w:val="005B22BE"/>
    <w:rsid w:val="005B2449"/>
    <w:rsid w:val="005B3BC8"/>
    <w:rsid w:val="005B4048"/>
    <w:rsid w:val="005B49C0"/>
    <w:rsid w:val="005B62DE"/>
    <w:rsid w:val="005B6528"/>
    <w:rsid w:val="005B6DED"/>
    <w:rsid w:val="005B7D56"/>
    <w:rsid w:val="005C0831"/>
    <w:rsid w:val="005C1550"/>
    <w:rsid w:val="005C36E6"/>
    <w:rsid w:val="005C41D4"/>
    <w:rsid w:val="005C42B8"/>
    <w:rsid w:val="005C4A59"/>
    <w:rsid w:val="005C4D5D"/>
    <w:rsid w:val="005C5559"/>
    <w:rsid w:val="005C56B2"/>
    <w:rsid w:val="005C6480"/>
    <w:rsid w:val="005C6FE9"/>
    <w:rsid w:val="005C7AEA"/>
    <w:rsid w:val="005D0180"/>
    <w:rsid w:val="005D086A"/>
    <w:rsid w:val="005D1FB2"/>
    <w:rsid w:val="005D25CD"/>
    <w:rsid w:val="005D2D23"/>
    <w:rsid w:val="005D4B44"/>
    <w:rsid w:val="005D4DF1"/>
    <w:rsid w:val="005D4F24"/>
    <w:rsid w:val="005D5215"/>
    <w:rsid w:val="005D52D7"/>
    <w:rsid w:val="005D5538"/>
    <w:rsid w:val="005D5803"/>
    <w:rsid w:val="005D5D2B"/>
    <w:rsid w:val="005D759D"/>
    <w:rsid w:val="005E04E2"/>
    <w:rsid w:val="005E2500"/>
    <w:rsid w:val="005E3DA9"/>
    <w:rsid w:val="005E48FA"/>
    <w:rsid w:val="005E5435"/>
    <w:rsid w:val="005E6413"/>
    <w:rsid w:val="005E6482"/>
    <w:rsid w:val="005F0754"/>
    <w:rsid w:val="005F0843"/>
    <w:rsid w:val="005F1D89"/>
    <w:rsid w:val="005F22EB"/>
    <w:rsid w:val="005F36B1"/>
    <w:rsid w:val="005F526A"/>
    <w:rsid w:val="005F63DA"/>
    <w:rsid w:val="005F7B89"/>
    <w:rsid w:val="0060002D"/>
    <w:rsid w:val="00600B04"/>
    <w:rsid w:val="00601610"/>
    <w:rsid w:val="0060289C"/>
    <w:rsid w:val="0060349E"/>
    <w:rsid w:val="00603699"/>
    <w:rsid w:val="006037E3"/>
    <w:rsid w:val="00603EFF"/>
    <w:rsid w:val="00604069"/>
    <w:rsid w:val="0060690C"/>
    <w:rsid w:val="00607F58"/>
    <w:rsid w:val="00611EC6"/>
    <w:rsid w:val="00613668"/>
    <w:rsid w:val="00614353"/>
    <w:rsid w:val="0061541B"/>
    <w:rsid w:val="00616213"/>
    <w:rsid w:val="00616344"/>
    <w:rsid w:val="0061659F"/>
    <w:rsid w:val="00617893"/>
    <w:rsid w:val="00617A55"/>
    <w:rsid w:val="00620C23"/>
    <w:rsid w:val="006218CD"/>
    <w:rsid w:val="00622588"/>
    <w:rsid w:val="00624549"/>
    <w:rsid w:val="00625B41"/>
    <w:rsid w:val="00627E25"/>
    <w:rsid w:val="006301EB"/>
    <w:rsid w:val="00630B34"/>
    <w:rsid w:val="00631313"/>
    <w:rsid w:val="00631857"/>
    <w:rsid w:val="00631E53"/>
    <w:rsid w:val="00632CC9"/>
    <w:rsid w:val="00633B79"/>
    <w:rsid w:val="00635657"/>
    <w:rsid w:val="0063650C"/>
    <w:rsid w:val="00636991"/>
    <w:rsid w:val="00637D51"/>
    <w:rsid w:val="00640662"/>
    <w:rsid w:val="00640D30"/>
    <w:rsid w:val="00640FF7"/>
    <w:rsid w:val="006447A7"/>
    <w:rsid w:val="006454BE"/>
    <w:rsid w:val="00645CBB"/>
    <w:rsid w:val="0064622D"/>
    <w:rsid w:val="00647063"/>
    <w:rsid w:val="006474EA"/>
    <w:rsid w:val="00651355"/>
    <w:rsid w:val="0065169F"/>
    <w:rsid w:val="00651728"/>
    <w:rsid w:val="00651869"/>
    <w:rsid w:val="006524F4"/>
    <w:rsid w:val="00652D02"/>
    <w:rsid w:val="006530CA"/>
    <w:rsid w:val="0065510C"/>
    <w:rsid w:val="00655BDB"/>
    <w:rsid w:val="00656215"/>
    <w:rsid w:val="006564D2"/>
    <w:rsid w:val="0065680A"/>
    <w:rsid w:val="0065743D"/>
    <w:rsid w:val="00657B61"/>
    <w:rsid w:val="00660859"/>
    <w:rsid w:val="00661536"/>
    <w:rsid w:val="00663422"/>
    <w:rsid w:val="00663635"/>
    <w:rsid w:val="00664FBD"/>
    <w:rsid w:val="006666D2"/>
    <w:rsid w:val="0066723A"/>
    <w:rsid w:val="006675E5"/>
    <w:rsid w:val="00667A61"/>
    <w:rsid w:val="00667A95"/>
    <w:rsid w:val="00667EEA"/>
    <w:rsid w:val="00667F44"/>
    <w:rsid w:val="00670434"/>
    <w:rsid w:val="00670C4E"/>
    <w:rsid w:val="006729B5"/>
    <w:rsid w:val="00672D8F"/>
    <w:rsid w:val="00676097"/>
    <w:rsid w:val="00676C65"/>
    <w:rsid w:val="006777FF"/>
    <w:rsid w:val="00677E4C"/>
    <w:rsid w:val="00677E99"/>
    <w:rsid w:val="006811D8"/>
    <w:rsid w:val="00682943"/>
    <w:rsid w:val="00683D32"/>
    <w:rsid w:val="0068528F"/>
    <w:rsid w:val="00685631"/>
    <w:rsid w:val="00685685"/>
    <w:rsid w:val="006861D5"/>
    <w:rsid w:val="006866CD"/>
    <w:rsid w:val="006879EE"/>
    <w:rsid w:val="006935AC"/>
    <w:rsid w:val="00694768"/>
    <w:rsid w:val="00694B11"/>
    <w:rsid w:val="006957A3"/>
    <w:rsid w:val="00696907"/>
    <w:rsid w:val="00696BF0"/>
    <w:rsid w:val="00697F22"/>
    <w:rsid w:val="006A006C"/>
    <w:rsid w:val="006A285E"/>
    <w:rsid w:val="006A4779"/>
    <w:rsid w:val="006A55DB"/>
    <w:rsid w:val="006A5940"/>
    <w:rsid w:val="006A64DA"/>
    <w:rsid w:val="006A6E4B"/>
    <w:rsid w:val="006A7A14"/>
    <w:rsid w:val="006B0D15"/>
    <w:rsid w:val="006B108A"/>
    <w:rsid w:val="006B1FB5"/>
    <w:rsid w:val="006B2D68"/>
    <w:rsid w:val="006B2F71"/>
    <w:rsid w:val="006B34E1"/>
    <w:rsid w:val="006B3BBF"/>
    <w:rsid w:val="006B42FE"/>
    <w:rsid w:val="006B5280"/>
    <w:rsid w:val="006B5295"/>
    <w:rsid w:val="006B6889"/>
    <w:rsid w:val="006C0E83"/>
    <w:rsid w:val="006C0E9C"/>
    <w:rsid w:val="006C1D05"/>
    <w:rsid w:val="006C2565"/>
    <w:rsid w:val="006C2772"/>
    <w:rsid w:val="006C3BC3"/>
    <w:rsid w:val="006C4DC2"/>
    <w:rsid w:val="006C4E81"/>
    <w:rsid w:val="006C56B8"/>
    <w:rsid w:val="006C620C"/>
    <w:rsid w:val="006C6B5C"/>
    <w:rsid w:val="006C6BF6"/>
    <w:rsid w:val="006C6DE7"/>
    <w:rsid w:val="006D0A61"/>
    <w:rsid w:val="006D10CB"/>
    <w:rsid w:val="006D1251"/>
    <w:rsid w:val="006D12F1"/>
    <w:rsid w:val="006D20D7"/>
    <w:rsid w:val="006D33BC"/>
    <w:rsid w:val="006D4444"/>
    <w:rsid w:val="006D45FF"/>
    <w:rsid w:val="006D4AFC"/>
    <w:rsid w:val="006D51D5"/>
    <w:rsid w:val="006D6B74"/>
    <w:rsid w:val="006D73C5"/>
    <w:rsid w:val="006E2A01"/>
    <w:rsid w:val="006E2C4F"/>
    <w:rsid w:val="006E3452"/>
    <w:rsid w:val="006E4097"/>
    <w:rsid w:val="006E4C8D"/>
    <w:rsid w:val="006E6261"/>
    <w:rsid w:val="006F0597"/>
    <w:rsid w:val="006F087D"/>
    <w:rsid w:val="006F0D02"/>
    <w:rsid w:val="006F270F"/>
    <w:rsid w:val="006F3E3C"/>
    <w:rsid w:val="006F4C9C"/>
    <w:rsid w:val="006F5A7C"/>
    <w:rsid w:val="006F6A62"/>
    <w:rsid w:val="006F7E38"/>
    <w:rsid w:val="007017AB"/>
    <w:rsid w:val="00701BBD"/>
    <w:rsid w:val="00701F3A"/>
    <w:rsid w:val="007020D6"/>
    <w:rsid w:val="00702A34"/>
    <w:rsid w:val="00705F9F"/>
    <w:rsid w:val="007074DD"/>
    <w:rsid w:val="007120F3"/>
    <w:rsid w:val="00713C5E"/>
    <w:rsid w:val="00713F0A"/>
    <w:rsid w:val="00714837"/>
    <w:rsid w:val="00717394"/>
    <w:rsid w:val="0071752F"/>
    <w:rsid w:val="007179F4"/>
    <w:rsid w:val="007204C2"/>
    <w:rsid w:val="00721087"/>
    <w:rsid w:val="007220FF"/>
    <w:rsid w:val="00723049"/>
    <w:rsid w:val="007230CB"/>
    <w:rsid w:val="0072395D"/>
    <w:rsid w:val="00724DEE"/>
    <w:rsid w:val="00725A58"/>
    <w:rsid w:val="0072735A"/>
    <w:rsid w:val="00731BA1"/>
    <w:rsid w:val="00732062"/>
    <w:rsid w:val="00733799"/>
    <w:rsid w:val="00734DB9"/>
    <w:rsid w:val="00734E9C"/>
    <w:rsid w:val="00735E15"/>
    <w:rsid w:val="00735F47"/>
    <w:rsid w:val="0073704A"/>
    <w:rsid w:val="007370DD"/>
    <w:rsid w:val="0074006B"/>
    <w:rsid w:val="0074055B"/>
    <w:rsid w:val="00741841"/>
    <w:rsid w:val="00741845"/>
    <w:rsid w:val="00743195"/>
    <w:rsid w:val="00744F65"/>
    <w:rsid w:val="00744FA8"/>
    <w:rsid w:val="007451FF"/>
    <w:rsid w:val="0074529F"/>
    <w:rsid w:val="00745CE5"/>
    <w:rsid w:val="00746351"/>
    <w:rsid w:val="00747BDD"/>
    <w:rsid w:val="00747CF0"/>
    <w:rsid w:val="007508FB"/>
    <w:rsid w:val="00750AF0"/>
    <w:rsid w:val="0075189E"/>
    <w:rsid w:val="0075310C"/>
    <w:rsid w:val="00754963"/>
    <w:rsid w:val="00755111"/>
    <w:rsid w:val="00756164"/>
    <w:rsid w:val="00756FA8"/>
    <w:rsid w:val="00757B29"/>
    <w:rsid w:val="007605D7"/>
    <w:rsid w:val="00760B9B"/>
    <w:rsid w:val="00763960"/>
    <w:rsid w:val="00766494"/>
    <w:rsid w:val="007703A6"/>
    <w:rsid w:val="00770B95"/>
    <w:rsid w:val="00771915"/>
    <w:rsid w:val="00771CC1"/>
    <w:rsid w:val="00771E9A"/>
    <w:rsid w:val="00774F11"/>
    <w:rsid w:val="0077508F"/>
    <w:rsid w:val="00775BDA"/>
    <w:rsid w:val="00775E6C"/>
    <w:rsid w:val="007765A8"/>
    <w:rsid w:val="007777C5"/>
    <w:rsid w:val="0078045D"/>
    <w:rsid w:val="007813A2"/>
    <w:rsid w:val="00781A0D"/>
    <w:rsid w:val="00781B75"/>
    <w:rsid w:val="00781DEB"/>
    <w:rsid w:val="00782323"/>
    <w:rsid w:val="007835BE"/>
    <w:rsid w:val="007839D6"/>
    <w:rsid w:val="007839EB"/>
    <w:rsid w:val="0078451E"/>
    <w:rsid w:val="007846E3"/>
    <w:rsid w:val="00784B1C"/>
    <w:rsid w:val="0078557E"/>
    <w:rsid w:val="00785E8E"/>
    <w:rsid w:val="00786194"/>
    <w:rsid w:val="0078662D"/>
    <w:rsid w:val="0078665B"/>
    <w:rsid w:val="007878C6"/>
    <w:rsid w:val="00787EA8"/>
    <w:rsid w:val="00790BDD"/>
    <w:rsid w:val="007911C9"/>
    <w:rsid w:val="007932A7"/>
    <w:rsid w:val="00793797"/>
    <w:rsid w:val="007939FE"/>
    <w:rsid w:val="00793F53"/>
    <w:rsid w:val="0079412A"/>
    <w:rsid w:val="00795621"/>
    <w:rsid w:val="00795B4E"/>
    <w:rsid w:val="0079689A"/>
    <w:rsid w:val="007976F1"/>
    <w:rsid w:val="007A0E9A"/>
    <w:rsid w:val="007A1200"/>
    <w:rsid w:val="007A5249"/>
    <w:rsid w:val="007B03A5"/>
    <w:rsid w:val="007B0475"/>
    <w:rsid w:val="007B08EA"/>
    <w:rsid w:val="007B11DB"/>
    <w:rsid w:val="007B2C21"/>
    <w:rsid w:val="007B4B29"/>
    <w:rsid w:val="007B5887"/>
    <w:rsid w:val="007B694F"/>
    <w:rsid w:val="007B7C15"/>
    <w:rsid w:val="007C075A"/>
    <w:rsid w:val="007C0858"/>
    <w:rsid w:val="007C0D4A"/>
    <w:rsid w:val="007C1316"/>
    <w:rsid w:val="007C14FA"/>
    <w:rsid w:val="007C1F33"/>
    <w:rsid w:val="007C215A"/>
    <w:rsid w:val="007C2944"/>
    <w:rsid w:val="007C49FC"/>
    <w:rsid w:val="007C4D16"/>
    <w:rsid w:val="007C71B1"/>
    <w:rsid w:val="007D2047"/>
    <w:rsid w:val="007D3515"/>
    <w:rsid w:val="007D59F9"/>
    <w:rsid w:val="007D5CDF"/>
    <w:rsid w:val="007D680A"/>
    <w:rsid w:val="007D6DB1"/>
    <w:rsid w:val="007D6E9E"/>
    <w:rsid w:val="007D74C2"/>
    <w:rsid w:val="007E09E6"/>
    <w:rsid w:val="007E10D7"/>
    <w:rsid w:val="007E5CBD"/>
    <w:rsid w:val="007F14E7"/>
    <w:rsid w:val="007F2EBB"/>
    <w:rsid w:val="007F3BF7"/>
    <w:rsid w:val="008026A2"/>
    <w:rsid w:val="00802881"/>
    <w:rsid w:val="008029F9"/>
    <w:rsid w:val="00802D53"/>
    <w:rsid w:val="00802F1B"/>
    <w:rsid w:val="00806CCE"/>
    <w:rsid w:val="00810B54"/>
    <w:rsid w:val="00811E1B"/>
    <w:rsid w:val="00811EFB"/>
    <w:rsid w:val="00815DE4"/>
    <w:rsid w:val="008165C0"/>
    <w:rsid w:val="00817F78"/>
    <w:rsid w:val="00820D29"/>
    <w:rsid w:val="0082260E"/>
    <w:rsid w:val="00823DBF"/>
    <w:rsid w:val="008242F3"/>
    <w:rsid w:val="00824A24"/>
    <w:rsid w:val="00824E88"/>
    <w:rsid w:val="00825F9E"/>
    <w:rsid w:val="0082659C"/>
    <w:rsid w:val="00826EE1"/>
    <w:rsid w:val="00827D34"/>
    <w:rsid w:val="00832FAD"/>
    <w:rsid w:val="008332B0"/>
    <w:rsid w:val="008348E6"/>
    <w:rsid w:val="00835935"/>
    <w:rsid w:val="00840CEA"/>
    <w:rsid w:val="00841276"/>
    <w:rsid w:val="00841CA5"/>
    <w:rsid w:val="00844073"/>
    <w:rsid w:val="00845560"/>
    <w:rsid w:val="0084596D"/>
    <w:rsid w:val="00850D6F"/>
    <w:rsid w:val="00851625"/>
    <w:rsid w:val="00851F1D"/>
    <w:rsid w:val="0085256A"/>
    <w:rsid w:val="00852C2D"/>
    <w:rsid w:val="008537CC"/>
    <w:rsid w:val="008541FB"/>
    <w:rsid w:val="0085629D"/>
    <w:rsid w:val="00856A28"/>
    <w:rsid w:val="00856DA0"/>
    <w:rsid w:val="00856F6D"/>
    <w:rsid w:val="008577EE"/>
    <w:rsid w:val="00860CB3"/>
    <w:rsid w:val="00862F92"/>
    <w:rsid w:val="00865272"/>
    <w:rsid w:val="00865669"/>
    <w:rsid w:val="00870C3B"/>
    <w:rsid w:val="00871D07"/>
    <w:rsid w:val="00874152"/>
    <w:rsid w:val="00874242"/>
    <w:rsid w:val="00874AD1"/>
    <w:rsid w:val="00875295"/>
    <w:rsid w:val="008768CC"/>
    <w:rsid w:val="00880C7D"/>
    <w:rsid w:val="00880F81"/>
    <w:rsid w:val="008818F3"/>
    <w:rsid w:val="00881F93"/>
    <w:rsid w:val="008869A8"/>
    <w:rsid w:val="008901AF"/>
    <w:rsid w:val="00891822"/>
    <w:rsid w:val="00892284"/>
    <w:rsid w:val="0089236E"/>
    <w:rsid w:val="00892580"/>
    <w:rsid w:val="008936CF"/>
    <w:rsid w:val="008968F8"/>
    <w:rsid w:val="00896A7D"/>
    <w:rsid w:val="00897EEB"/>
    <w:rsid w:val="008A0330"/>
    <w:rsid w:val="008A128A"/>
    <w:rsid w:val="008A1862"/>
    <w:rsid w:val="008A4324"/>
    <w:rsid w:val="008A7206"/>
    <w:rsid w:val="008A77D5"/>
    <w:rsid w:val="008B0955"/>
    <w:rsid w:val="008B131C"/>
    <w:rsid w:val="008B13E8"/>
    <w:rsid w:val="008B183D"/>
    <w:rsid w:val="008B2DA6"/>
    <w:rsid w:val="008B3344"/>
    <w:rsid w:val="008B3A31"/>
    <w:rsid w:val="008B538F"/>
    <w:rsid w:val="008B5A71"/>
    <w:rsid w:val="008B6B25"/>
    <w:rsid w:val="008C087D"/>
    <w:rsid w:val="008C099F"/>
    <w:rsid w:val="008C0B74"/>
    <w:rsid w:val="008C1B4B"/>
    <w:rsid w:val="008C2406"/>
    <w:rsid w:val="008C27CB"/>
    <w:rsid w:val="008C39AA"/>
    <w:rsid w:val="008C5115"/>
    <w:rsid w:val="008C5EF4"/>
    <w:rsid w:val="008C62CC"/>
    <w:rsid w:val="008D07F3"/>
    <w:rsid w:val="008D19B9"/>
    <w:rsid w:val="008D1F44"/>
    <w:rsid w:val="008D219B"/>
    <w:rsid w:val="008D3B5C"/>
    <w:rsid w:val="008D3D46"/>
    <w:rsid w:val="008D5215"/>
    <w:rsid w:val="008D5798"/>
    <w:rsid w:val="008D7497"/>
    <w:rsid w:val="008D7506"/>
    <w:rsid w:val="008D7782"/>
    <w:rsid w:val="008E0546"/>
    <w:rsid w:val="008E0E8D"/>
    <w:rsid w:val="008E18DB"/>
    <w:rsid w:val="008E25B0"/>
    <w:rsid w:val="008E640D"/>
    <w:rsid w:val="008E69A3"/>
    <w:rsid w:val="008E6EAD"/>
    <w:rsid w:val="008E7B29"/>
    <w:rsid w:val="008E7D23"/>
    <w:rsid w:val="008F0492"/>
    <w:rsid w:val="008F102A"/>
    <w:rsid w:val="008F139D"/>
    <w:rsid w:val="008F1494"/>
    <w:rsid w:val="008F2D94"/>
    <w:rsid w:val="008F4547"/>
    <w:rsid w:val="008F5209"/>
    <w:rsid w:val="008F69DA"/>
    <w:rsid w:val="008F78CD"/>
    <w:rsid w:val="009001DC"/>
    <w:rsid w:val="00900B7F"/>
    <w:rsid w:val="00903038"/>
    <w:rsid w:val="009037BA"/>
    <w:rsid w:val="00903A3F"/>
    <w:rsid w:val="00904555"/>
    <w:rsid w:val="00905D30"/>
    <w:rsid w:val="00906AE8"/>
    <w:rsid w:val="009079AE"/>
    <w:rsid w:val="009100CC"/>
    <w:rsid w:val="009104E7"/>
    <w:rsid w:val="00910B39"/>
    <w:rsid w:val="0091110D"/>
    <w:rsid w:val="00913287"/>
    <w:rsid w:val="009134E8"/>
    <w:rsid w:val="00914621"/>
    <w:rsid w:val="00915990"/>
    <w:rsid w:val="00916EC5"/>
    <w:rsid w:val="00917B9B"/>
    <w:rsid w:val="00920E25"/>
    <w:rsid w:val="0092144A"/>
    <w:rsid w:val="00921E64"/>
    <w:rsid w:val="0092269F"/>
    <w:rsid w:val="0092274B"/>
    <w:rsid w:val="00922E9A"/>
    <w:rsid w:val="00923F6B"/>
    <w:rsid w:val="00924039"/>
    <w:rsid w:val="009278B5"/>
    <w:rsid w:val="00927D80"/>
    <w:rsid w:val="009305BD"/>
    <w:rsid w:val="00932E9F"/>
    <w:rsid w:val="00934602"/>
    <w:rsid w:val="009358A4"/>
    <w:rsid w:val="0093665A"/>
    <w:rsid w:val="0093694A"/>
    <w:rsid w:val="00937917"/>
    <w:rsid w:val="00937F40"/>
    <w:rsid w:val="00940532"/>
    <w:rsid w:val="00941FED"/>
    <w:rsid w:val="0094277D"/>
    <w:rsid w:val="00943EBB"/>
    <w:rsid w:val="00944339"/>
    <w:rsid w:val="009461EC"/>
    <w:rsid w:val="00946328"/>
    <w:rsid w:val="00950D5D"/>
    <w:rsid w:val="00952907"/>
    <w:rsid w:val="009529F8"/>
    <w:rsid w:val="00952B1B"/>
    <w:rsid w:val="00952F6D"/>
    <w:rsid w:val="009532CA"/>
    <w:rsid w:val="00953936"/>
    <w:rsid w:val="00954369"/>
    <w:rsid w:val="0095524C"/>
    <w:rsid w:val="0095559B"/>
    <w:rsid w:val="00955F5A"/>
    <w:rsid w:val="00956B9D"/>
    <w:rsid w:val="009600FE"/>
    <w:rsid w:val="009608D1"/>
    <w:rsid w:val="00961072"/>
    <w:rsid w:val="00961C69"/>
    <w:rsid w:val="00963F22"/>
    <w:rsid w:val="00964853"/>
    <w:rsid w:val="00964C12"/>
    <w:rsid w:val="009653A8"/>
    <w:rsid w:val="0096692C"/>
    <w:rsid w:val="00966F29"/>
    <w:rsid w:val="00967B9B"/>
    <w:rsid w:val="00967FF5"/>
    <w:rsid w:val="009729F3"/>
    <w:rsid w:val="00972F61"/>
    <w:rsid w:val="00973323"/>
    <w:rsid w:val="00973EA2"/>
    <w:rsid w:val="00976A22"/>
    <w:rsid w:val="00976E5E"/>
    <w:rsid w:val="00976F5C"/>
    <w:rsid w:val="009773F0"/>
    <w:rsid w:val="00981532"/>
    <w:rsid w:val="009816FB"/>
    <w:rsid w:val="00984D10"/>
    <w:rsid w:val="00985CDB"/>
    <w:rsid w:val="00986FEE"/>
    <w:rsid w:val="00987083"/>
    <w:rsid w:val="00990834"/>
    <w:rsid w:val="009908E1"/>
    <w:rsid w:val="00990998"/>
    <w:rsid w:val="00990EC0"/>
    <w:rsid w:val="0099111B"/>
    <w:rsid w:val="009921A5"/>
    <w:rsid w:val="00992338"/>
    <w:rsid w:val="009931FB"/>
    <w:rsid w:val="0099418E"/>
    <w:rsid w:val="00995F47"/>
    <w:rsid w:val="00997212"/>
    <w:rsid w:val="009A3209"/>
    <w:rsid w:val="009A39AB"/>
    <w:rsid w:val="009A47F4"/>
    <w:rsid w:val="009A53E3"/>
    <w:rsid w:val="009A5B16"/>
    <w:rsid w:val="009A5CB3"/>
    <w:rsid w:val="009A6D6A"/>
    <w:rsid w:val="009A7006"/>
    <w:rsid w:val="009A7161"/>
    <w:rsid w:val="009B03E3"/>
    <w:rsid w:val="009B2A74"/>
    <w:rsid w:val="009B2E8D"/>
    <w:rsid w:val="009B37D6"/>
    <w:rsid w:val="009B417B"/>
    <w:rsid w:val="009B42F2"/>
    <w:rsid w:val="009B4972"/>
    <w:rsid w:val="009B64E8"/>
    <w:rsid w:val="009B71A0"/>
    <w:rsid w:val="009B7C6D"/>
    <w:rsid w:val="009C04AB"/>
    <w:rsid w:val="009C077B"/>
    <w:rsid w:val="009C19D0"/>
    <w:rsid w:val="009C1CD9"/>
    <w:rsid w:val="009C1E64"/>
    <w:rsid w:val="009C28A1"/>
    <w:rsid w:val="009C74DF"/>
    <w:rsid w:val="009C75B2"/>
    <w:rsid w:val="009C7A02"/>
    <w:rsid w:val="009D1025"/>
    <w:rsid w:val="009D1C89"/>
    <w:rsid w:val="009D4C1A"/>
    <w:rsid w:val="009D5301"/>
    <w:rsid w:val="009D556E"/>
    <w:rsid w:val="009D618A"/>
    <w:rsid w:val="009D74B1"/>
    <w:rsid w:val="009D7BB1"/>
    <w:rsid w:val="009E3CC1"/>
    <w:rsid w:val="009E7D6A"/>
    <w:rsid w:val="009F021A"/>
    <w:rsid w:val="009F02BA"/>
    <w:rsid w:val="009F04F1"/>
    <w:rsid w:val="009F27D9"/>
    <w:rsid w:val="009F3317"/>
    <w:rsid w:val="009F674C"/>
    <w:rsid w:val="009F704A"/>
    <w:rsid w:val="009F7184"/>
    <w:rsid w:val="009F7947"/>
    <w:rsid w:val="00A00682"/>
    <w:rsid w:val="00A013B1"/>
    <w:rsid w:val="00A022D9"/>
    <w:rsid w:val="00A023C5"/>
    <w:rsid w:val="00A027AE"/>
    <w:rsid w:val="00A040AE"/>
    <w:rsid w:val="00A04307"/>
    <w:rsid w:val="00A04856"/>
    <w:rsid w:val="00A075F2"/>
    <w:rsid w:val="00A078A7"/>
    <w:rsid w:val="00A07DB0"/>
    <w:rsid w:val="00A1076B"/>
    <w:rsid w:val="00A10CDF"/>
    <w:rsid w:val="00A10EFE"/>
    <w:rsid w:val="00A13009"/>
    <w:rsid w:val="00A13368"/>
    <w:rsid w:val="00A151CC"/>
    <w:rsid w:val="00A16C81"/>
    <w:rsid w:val="00A20035"/>
    <w:rsid w:val="00A2059E"/>
    <w:rsid w:val="00A2091C"/>
    <w:rsid w:val="00A2133C"/>
    <w:rsid w:val="00A219A7"/>
    <w:rsid w:val="00A21EF4"/>
    <w:rsid w:val="00A2257C"/>
    <w:rsid w:val="00A2282A"/>
    <w:rsid w:val="00A22839"/>
    <w:rsid w:val="00A23C54"/>
    <w:rsid w:val="00A24B3F"/>
    <w:rsid w:val="00A2563E"/>
    <w:rsid w:val="00A271C5"/>
    <w:rsid w:val="00A30D14"/>
    <w:rsid w:val="00A320AE"/>
    <w:rsid w:val="00A32A92"/>
    <w:rsid w:val="00A33793"/>
    <w:rsid w:val="00A34032"/>
    <w:rsid w:val="00A366E4"/>
    <w:rsid w:val="00A37672"/>
    <w:rsid w:val="00A379D2"/>
    <w:rsid w:val="00A41617"/>
    <w:rsid w:val="00A41F25"/>
    <w:rsid w:val="00A426CA"/>
    <w:rsid w:val="00A428AC"/>
    <w:rsid w:val="00A42951"/>
    <w:rsid w:val="00A43B72"/>
    <w:rsid w:val="00A43E99"/>
    <w:rsid w:val="00A45881"/>
    <w:rsid w:val="00A469CD"/>
    <w:rsid w:val="00A50CA8"/>
    <w:rsid w:val="00A50F64"/>
    <w:rsid w:val="00A5239B"/>
    <w:rsid w:val="00A551A1"/>
    <w:rsid w:val="00A56A39"/>
    <w:rsid w:val="00A56F7A"/>
    <w:rsid w:val="00A57655"/>
    <w:rsid w:val="00A60F66"/>
    <w:rsid w:val="00A61EE1"/>
    <w:rsid w:val="00A620F7"/>
    <w:rsid w:val="00A6367F"/>
    <w:rsid w:val="00A639AF"/>
    <w:rsid w:val="00A644FA"/>
    <w:rsid w:val="00A6451B"/>
    <w:rsid w:val="00A6565F"/>
    <w:rsid w:val="00A66F40"/>
    <w:rsid w:val="00A67023"/>
    <w:rsid w:val="00A7002A"/>
    <w:rsid w:val="00A701CE"/>
    <w:rsid w:val="00A70221"/>
    <w:rsid w:val="00A714D2"/>
    <w:rsid w:val="00A716A7"/>
    <w:rsid w:val="00A7231D"/>
    <w:rsid w:val="00A73C04"/>
    <w:rsid w:val="00A73C99"/>
    <w:rsid w:val="00A76F96"/>
    <w:rsid w:val="00A775A6"/>
    <w:rsid w:val="00A779D1"/>
    <w:rsid w:val="00A80B96"/>
    <w:rsid w:val="00A8367F"/>
    <w:rsid w:val="00A914C4"/>
    <w:rsid w:val="00A918A4"/>
    <w:rsid w:val="00A91923"/>
    <w:rsid w:val="00A92436"/>
    <w:rsid w:val="00A9323A"/>
    <w:rsid w:val="00A95067"/>
    <w:rsid w:val="00A95FD2"/>
    <w:rsid w:val="00A97101"/>
    <w:rsid w:val="00A974FB"/>
    <w:rsid w:val="00A97824"/>
    <w:rsid w:val="00A97B9D"/>
    <w:rsid w:val="00A97E43"/>
    <w:rsid w:val="00AA0803"/>
    <w:rsid w:val="00AA1135"/>
    <w:rsid w:val="00AA1A28"/>
    <w:rsid w:val="00AA1B14"/>
    <w:rsid w:val="00AA27F2"/>
    <w:rsid w:val="00AA32C0"/>
    <w:rsid w:val="00AA33B0"/>
    <w:rsid w:val="00AA3805"/>
    <w:rsid w:val="00AA4EE4"/>
    <w:rsid w:val="00AA5BFE"/>
    <w:rsid w:val="00AA68F8"/>
    <w:rsid w:val="00AA7ADB"/>
    <w:rsid w:val="00AB03B1"/>
    <w:rsid w:val="00AB0475"/>
    <w:rsid w:val="00AB17F9"/>
    <w:rsid w:val="00AB1927"/>
    <w:rsid w:val="00AB2265"/>
    <w:rsid w:val="00AB394D"/>
    <w:rsid w:val="00AB3BBE"/>
    <w:rsid w:val="00AB3E90"/>
    <w:rsid w:val="00AB5180"/>
    <w:rsid w:val="00AB5A1B"/>
    <w:rsid w:val="00AB5B99"/>
    <w:rsid w:val="00AB7BFE"/>
    <w:rsid w:val="00AC05BD"/>
    <w:rsid w:val="00AC0F0A"/>
    <w:rsid w:val="00AC14B0"/>
    <w:rsid w:val="00AC1F96"/>
    <w:rsid w:val="00AC22E0"/>
    <w:rsid w:val="00AC2395"/>
    <w:rsid w:val="00AC26D7"/>
    <w:rsid w:val="00AC3AC2"/>
    <w:rsid w:val="00AC47CC"/>
    <w:rsid w:val="00AC4967"/>
    <w:rsid w:val="00AC50B6"/>
    <w:rsid w:val="00AC5164"/>
    <w:rsid w:val="00AC571C"/>
    <w:rsid w:val="00AC63ED"/>
    <w:rsid w:val="00AC69F1"/>
    <w:rsid w:val="00AC7020"/>
    <w:rsid w:val="00AC7444"/>
    <w:rsid w:val="00AC7EB8"/>
    <w:rsid w:val="00AC7F7F"/>
    <w:rsid w:val="00AD0EA6"/>
    <w:rsid w:val="00AD2EEA"/>
    <w:rsid w:val="00AD5392"/>
    <w:rsid w:val="00AE1A40"/>
    <w:rsid w:val="00AE245B"/>
    <w:rsid w:val="00AE3096"/>
    <w:rsid w:val="00AE5819"/>
    <w:rsid w:val="00AE7A50"/>
    <w:rsid w:val="00AE7B11"/>
    <w:rsid w:val="00AE7E3C"/>
    <w:rsid w:val="00AF04C0"/>
    <w:rsid w:val="00AF177D"/>
    <w:rsid w:val="00AF1A40"/>
    <w:rsid w:val="00AF1D8E"/>
    <w:rsid w:val="00AF37BA"/>
    <w:rsid w:val="00AF3846"/>
    <w:rsid w:val="00AF6A14"/>
    <w:rsid w:val="00B01045"/>
    <w:rsid w:val="00B023EE"/>
    <w:rsid w:val="00B02879"/>
    <w:rsid w:val="00B1062B"/>
    <w:rsid w:val="00B10810"/>
    <w:rsid w:val="00B109EE"/>
    <w:rsid w:val="00B13642"/>
    <w:rsid w:val="00B136D5"/>
    <w:rsid w:val="00B13884"/>
    <w:rsid w:val="00B15D8E"/>
    <w:rsid w:val="00B178E8"/>
    <w:rsid w:val="00B20062"/>
    <w:rsid w:val="00B2042C"/>
    <w:rsid w:val="00B231D1"/>
    <w:rsid w:val="00B24543"/>
    <w:rsid w:val="00B24551"/>
    <w:rsid w:val="00B25322"/>
    <w:rsid w:val="00B25EBA"/>
    <w:rsid w:val="00B2704F"/>
    <w:rsid w:val="00B30D93"/>
    <w:rsid w:val="00B30E19"/>
    <w:rsid w:val="00B30F8D"/>
    <w:rsid w:val="00B31F31"/>
    <w:rsid w:val="00B328A7"/>
    <w:rsid w:val="00B33319"/>
    <w:rsid w:val="00B33821"/>
    <w:rsid w:val="00B345B1"/>
    <w:rsid w:val="00B3590E"/>
    <w:rsid w:val="00B40373"/>
    <w:rsid w:val="00B406DE"/>
    <w:rsid w:val="00B4089B"/>
    <w:rsid w:val="00B41917"/>
    <w:rsid w:val="00B41975"/>
    <w:rsid w:val="00B41FA3"/>
    <w:rsid w:val="00B41FFE"/>
    <w:rsid w:val="00B43994"/>
    <w:rsid w:val="00B44D4A"/>
    <w:rsid w:val="00B46649"/>
    <w:rsid w:val="00B47546"/>
    <w:rsid w:val="00B51036"/>
    <w:rsid w:val="00B51D10"/>
    <w:rsid w:val="00B54508"/>
    <w:rsid w:val="00B556F6"/>
    <w:rsid w:val="00B55B67"/>
    <w:rsid w:val="00B5757C"/>
    <w:rsid w:val="00B60CD9"/>
    <w:rsid w:val="00B6241B"/>
    <w:rsid w:val="00B62CFF"/>
    <w:rsid w:val="00B63320"/>
    <w:rsid w:val="00B638D4"/>
    <w:rsid w:val="00B639D7"/>
    <w:rsid w:val="00B64950"/>
    <w:rsid w:val="00B6709E"/>
    <w:rsid w:val="00B67360"/>
    <w:rsid w:val="00B70A15"/>
    <w:rsid w:val="00B71EEA"/>
    <w:rsid w:val="00B73879"/>
    <w:rsid w:val="00B73EDB"/>
    <w:rsid w:val="00B742DE"/>
    <w:rsid w:val="00B760F7"/>
    <w:rsid w:val="00B7762C"/>
    <w:rsid w:val="00B80403"/>
    <w:rsid w:val="00B811FB"/>
    <w:rsid w:val="00B81691"/>
    <w:rsid w:val="00B81793"/>
    <w:rsid w:val="00B829B1"/>
    <w:rsid w:val="00B82AC8"/>
    <w:rsid w:val="00B82F50"/>
    <w:rsid w:val="00B82FA1"/>
    <w:rsid w:val="00B84322"/>
    <w:rsid w:val="00B846FA"/>
    <w:rsid w:val="00B87B1D"/>
    <w:rsid w:val="00B90986"/>
    <w:rsid w:val="00B92727"/>
    <w:rsid w:val="00B94259"/>
    <w:rsid w:val="00B96764"/>
    <w:rsid w:val="00B9744D"/>
    <w:rsid w:val="00B97B8E"/>
    <w:rsid w:val="00BA28FE"/>
    <w:rsid w:val="00BA4BF4"/>
    <w:rsid w:val="00BA69F5"/>
    <w:rsid w:val="00BA73C2"/>
    <w:rsid w:val="00BA77D1"/>
    <w:rsid w:val="00BA7DF5"/>
    <w:rsid w:val="00BB0369"/>
    <w:rsid w:val="00BB038E"/>
    <w:rsid w:val="00BB04F0"/>
    <w:rsid w:val="00BB1158"/>
    <w:rsid w:val="00BB1611"/>
    <w:rsid w:val="00BB343F"/>
    <w:rsid w:val="00BB457D"/>
    <w:rsid w:val="00BB4775"/>
    <w:rsid w:val="00BB4B03"/>
    <w:rsid w:val="00BB4C9D"/>
    <w:rsid w:val="00BC1318"/>
    <w:rsid w:val="00BC16EC"/>
    <w:rsid w:val="00BC2272"/>
    <w:rsid w:val="00BC4694"/>
    <w:rsid w:val="00BC520D"/>
    <w:rsid w:val="00BC5226"/>
    <w:rsid w:val="00BC529E"/>
    <w:rsid w:val="00BC600D"/>
    <w:rsid w:val="00BC65D9"/>
    <w:rsid w:val="00BC6BB8"/>
    <w:rsid w:val="00BC7801"/>
    <w:rsid w:val="00BC7C5B"/>
    <w:rsid w:val="00BC7E12"/>
    <w:rsid w:val="00BC7EE5"/>
    <w:rsid w:val="00BD0FFB"/>
    <w:rsid w:val="00BD0FFE"/>
    <w:rsid w:val="00BD1D6C"/>
    <w:rsid w:val="00BD20D6"/>
    <w:rsid w:val="00BD30D1"/>
    <w:rsid w:val="00BD312E"/>
    <w:rsid w:val="00BD49B0"/>
    <w:rsid w:val="00BD4E94"/>
    <w:rsid w:val="00BD55FF"/>
    <w:rsid w:val="00BD5DD9"/>
    <w:rsid w:val="00BE029B"/>
    <w:rsid w:val="00BE09B9"/>
    <w:rsid w:val="00BE0C77"/>
    <w:rsid w:val="00BE1143"/>
    <w:rsid w:val="00BE1CAA"/>
    <w:rsid w:val="00BE203B"/>
    <w:rsid w:val="00BE4BE7"/>
    <w:rsid w:val="00BE5796"/>
    <w:rsid w:val="00BE586D"/>
    <w:rsid w:val="00BE6902"/>
    <w:rsid w:val="00BE752C"/>
    <w:rsid w:val="00BE7E34"/>
    <w:rsid w:val="00BF0A1B"/>
    <w:rsid w:val="00BF1944"/>
    <w:rsid w:val="00BF1C63"/>
    <w:rsid w:val="00BF25E1"/>
    <w:rsid w:val="00BF4BA7"/>
    <w:rsid w:val="00BF5D9D"/>
    <w:rsid w:val="00C011A7"/>
    <w:rsid w:val="00C01652"/>
    <w:rsid w:val="00C01A11"/>
    <w:rsid w:val="00C01FEA"/>
    <w:rsid w:val="00C02FE4"/>
    <w:rsid w:val="00C0335D"/>
    <w:rsid w:val="00C0401D"/>
    <w:rsid w:val="00C04842"/>
    <w:rsid w:val="00C0505B"/>
    <w:rsid w:val="00C0511E"/>
    <w:rsid w:val="00C055E4"/>
    <w:rsid w:val="00C10DCE"/>
    <w:rsid w:val="00C111C0"/>
    <w:rsid w:val="00C144CB"/>
    <w:rsid w:val="00C14AB3"/>
    <w:rsid w:val="00C16BA2"/>
    <w:rsid w:val="00C170A9"/>
    <w:rsid w:val="00C17E55"/>
    <w:rsid w:val="00C20C11"/>
    <w:rsid w:val="00C210D5"/>
    <w:rsid w:val="00C21A04"/>
    <w:rsid w:val="00C21F65"/>
    <w:rsid w:val="00C22B18"/>
    <w:rsid w:val="00C23393"/>
    <w:rsid w:val="00C23753"/>
    <w:rsid w:val="00C23F96"/>
    <w:rsid w:val="00C25276"/>
    <w:rsid w:val="00C252E2"/>
    <w:rsid w:val="00C2540F"/>
    <w:rsid w:val="00C263B6"/>
    <w:rsid w:val="00C2702E"/>
    <w:rsid w:val="00C272A9"/>
    <w:rsid w:val="00C30B62"/>
    <w:rsid w:val="00C34366"/>
    <w:rsid w:val="00C34A22"/>
    <w:rsid w:val="00C34B8C"/>
    <w:rsid w:val="00C34CF2"/>
    <w:rsid w:val="00C3677F"/>
    <w:rsid w:val="00C36891"/>
    <w:rsid w:val="00C3718D"/>
    <w:rsid w:val="00C409FC"/>
    <w:rsid w:val="00C41746"/>
    <w:rsid w:val="00C42B0D"/>
    <w:rsid w:val="00C43063"/>
    <w:rsid w:val="00C43AE0"/>
    <w:rsid w:val="00C45D0C"/>
    <w:rsid w:val="00C461FB"/>
    <w:rsid w:val="00C47590"/>
    <w:rsid w:val="00C477C3"/>
    <w:rsid w:val="00C47D0F"/>
    <w:rsid w:val="00C47FDB"/>
    <w:rsid w:val="00C51333"/>
    <w:rsid w:val="00C51DFD"/>
    <w:rsid w:val="00C52945"/>
    <w:rsid w:val="00C54D88"/>
    <w:rsid w:val="00C573FD"/>
    <w:rsid w:val="00C604FC"/>
    <w:rsid w:val="00C630B8"/>
    <w:rsid w:val="00C67AD0"/>
    <w:rsid w:val="00C702D5"/>
    <w:rsid w:val="00C70A8B"/>
    <w:rsid w:val="00C71908"/>
    <w:rsid w:val="00C71A2C"/>
    <w:rsid w:val="00C71AD9"/>
    <w:rsid w:val="00C7245F"/>
    <w:rsid w:val="00C74652"/>
    <w:rsid w:val="00C7519B"/>
    <w:rsid w:val="00C7766D"/>
    <w:rsid w:val="00C80008"/>
    <w:rsid w:val="00C8017F"/>
    <w:rsid w:val="00C8078E"/>
    <w:rsid w:val="00C81133"/>
    <w:rsid w:val="00C81DB9"/>
    <w:rsid w:val="00C82FAC"/>
    <w:rsid w:val="00C844C2"/>
    <w:rsid w:val="00C84522"/>
    <w:rsid w:val="00C8553F"/>
    <w:rsid w:val="00C85722"/>
    <w:rsid w:val="00C859DF"/>
    <w:rsid w:val="00C862B0"/>
    <w:rsid w:val="00C867A5"/>
    <w:rsid w:val="00C901FF"/>
    <w:rsid w:val="00C9040D"/>
    <w:rsid w:val="00C9053E"/>
    <w:rsid w:val="00C91489"/>
    <w:rsid w:val="00C91F21"/>
    <w:rsid w:val="00C94142"/>
    <w:rsid w:val="00C95E8C"/>
    <w:rsid w:val="00C96E7F"/>
    <w:rsid w:val="00C9723C"/>
    <w:rsid w:val="00CA00B8"/>
    <w:rsid w:val="00CA01C0"/>
    <w:rsid w:val="00CA0819"/>
    <w:rsid w:val="00CA1B06"/>
    <w:rsid w:val="00CA234F"/>
    <w:rsid w:val="00CA27AE"/>
    <w:rsid w:val="00CA4890"/>
    <w:rsid w:val="00CA4F07"/>
    <w:rsid w:val="00CA501A"/>
    <w:rsid w:val="00CA63FB"/>
    <w:rsid w:val="00CA68E3"/>
    <w:rsid w:val="00CB1F6F"/>
    <w:rsid w:val="00CB1FF8"/>
    <w:rsid w:val="00CB2A98"/>
    <w:rsid w:val="00CB3ECF"/>
    <w:rsid w:val="00CB44B6"/>
    <w:rsid w:val="00CB4DF9"/>
    <w:rsid w:val="00CB62A3"/>
    <w:rsid w:val="00CB6B44"/>
    <w:rsid w:val="00CC015B"/>
    <w:rsid w:val="00CC1F57"/>
    <w:rsid w:val="00CC2D6F"/>
    <w:rsid w:val="00CC375F"/>
    <w:rsid w:val="00CC3ACD"/>
    <w:rsid w:val="00CC4D36"/>
    <w:rsid w:val="00CD1318"/>
    <w:rsid w:val="00CD133C"/>
    <w:rsid w:val="00CD17BF"/>
    <w:rsid w:val="00CD1B0F"/>
    <w:rsid w:val="00CD2655"/>
    <w:rsid w:val="00CD57AC"/>
    <w:rsid w:val="00CD6205"/>
    <w:rsid w:val="00CD6939"/>
    <w:rsid w:val="00CD75C8"/>
    <w:rsid w:val="00CE0B60"/>
    <w:rsid w:val="00CE1AB7"/>
    <w:rsid w:val="00CE3088"/>
    <w:rsid w:val="00CE31EC"/>
    <w:rsid w:val="00CE37B9"/>
    <w:rsid w:val="00CE6483"/>
    <w:rsid w:val="00CE6E63"/>
    <w:rsid w:val="00CF1110"/>
    <w:rsid w:val="00CF272F"/>
    <w:rsid w:val="00CF2B1C"/>
    <w:rsid w:val="00CF2E6D"/>
    <w:rsid w:val="00CF3296"/>
    <w:rsid w:val="00CF3360"/>
    <w:rsid w:val="00CF3E07"/>
    <w:rsid w:val="00CF4583"/>
    <w:rsid w:val="00CF5E93"/>
    <w:rsid w:val="00CF661E"/>
    <w:rsid w:val="00CF6D53"/>
    <w:rsid w:val="00CF6F4F"/>
    <w:rsid w:val="00D01BC1"/>
    <w:rsid w:val="00D0364B"/>
    <w:rsid w:val="00D03DA7"/>
    <w:rsid w:val="00D04922"/>
    <w:rsid w:val="00D05448"/>
    <w:rsid w:val="00D07C57"/>
    <w:rsid w:val="00D10229"/>
    <w:rsid w:val="00D15C72"/>
    <w:rsid w:val="00D16379"/>
    <w:rsid w:val="00D17C63"/>
    <w:rsid w:val="00D20342"/>
    <w:rsid w:val="00D2063D"/>
    <w:rsid w:val="00D20C0A"/>
    <w:rsid w:val="00D2221A"/>
    <w:rsid w:val="00D22C2D"/>
    <w:rsid w:val="00D22D69"/>
    <w:rsid w:val="00D2493E"/>
    <w:rsid w:val="00D24B5F"/>
    <w:rsid w:val="00D26ABF"/>
    <w:rsid w:val="00D2773F"/>
    <w:rsid w:val="00D309C9"/>
    <w:rsid w:val="00D30D7E"/>
    <w:rsid w:val="00D32797"/>
    <w:rsid w:val="00D34D23"/>
    <w:rsid w:val="00D3573B"/>
    <w:rsid w:val="00D35AD0"/>
    <w:rsid w:val="00D3610D"/>
    <w:rsid w:val="00D36291"/>
    <w:rsid w:val="00D36855"/>
    <w:rsid w:val="00D372C4"/>
    <w:rsid w:val="00D377E5"/>
    <w:rsid w:val="00D41BB1"/>
    <w:rsid w:val="00D438FC"/>
    <w:rsid w:val="00D43DC0"/>
    <w:rsid w:val="00D453B6"/>
    <w:rsid w:val="00D45E64"/>
    <w:rsid w:val="00D46102"/>
    <w:rsid w:val="00D46B7E"/>
    <w:rsid w:val="00D51285"/>
    <w:rsid w:val="00D533BF"/>
    <w:rsid w:val="00D547AC"/>
    <w:rsid w:val="00D55A18"/>
    <w:rsid w:val="00D56F1D"/>
    <w:rsid w:val="00D578A8"/>
    <w:rsid w:val="00D60DCE"/>
    <w:rsid w:val="00D63CEE"/>
    <w:rsid w:val="00D640E4"/>
    <w:rsid w:val="00D6473C"/>
    <w:rsid w:val="00D665FC"/>
    <w:rsid w:val="00D67260"/>
    <w:rsid w:val="00D70FC1"/>
    <w:rsid w:val="00D71232"/>
    <w:rsid w:val="00D72B84"/>
    <w:rsid w:val="00D74509"/>
    <w:rsid w:val="00D74AC0"/>
    <w:rsid w:val="00D76419"/>
    <w:rsid w:val="00D76FB5"/>
    <w:rsid w:val="00D8072E"/>
    <w:rsid w:val="00D80F6D"/>
    <w:rsid w:val="00D811D1"/>
    <w:rsid w:val="00D813EB"/>
    <w:rsid w:val="00D81922"/>
    <w:rsid w:val="00D83C54"/>
    <w:rsid w:val="00D83EEB"/>
    <w:rsid w:val="00D84332"/>
    <w:rsid w:val="00D84AC4"/>
    <w:rsid w:val="00D85BAF"/>
    <w:rsid w:val="00D86279"/>
    <w:rsid w:val="00D8659E"/>
    <w:rsid w:val="00D86820"/>
    <w:rsid w:val="00D86C13"/>
    <w:rsid w:val="00D9016E"/>
    <w:rsid w:val="00D906DF"/>
    <w:rsid w:val="00D91729"/>
    <w:rsid w:val="00D92F3C"/>
    <w:rsid w:val="00D933EA"/>
    <w:rsid w:val="00D93FA8"/>
    <w:rsid w:val="00D9430F"/>
    <w:rsid w:val="00D946FD"/>
    <w:rsid w:val="00D948D9"/>
    <w:rsid w:val="00D97329"/>
    <w:rsid w:val="00DA290C"/>
    <w:rsid w:val="00DA2A06"/>
    <w:rsid w:val="00DA5AFB"/>
    <w:rsid w:val="00DA784B"/>
    <w:rsid w:val="00DB008A"/>
    <w:rsid w:val="00DB0F44"/>
    <w:rsid w:val="00DB29F2"/>
    <w:rsid w:val="00DB2AF3"/>
    <w:rsid w:val="00DB2C5C"/>
    <w:rsid w:val="00DB351C"/>
    <w:rsid w:val="00DB3737"/>
    <w:rsid w:val="00DB47FA"/>
    <w:rsid w:val="00DB4BD0"/>
    <w:rsid w:val="00DB6147"/>
    <w:rsid w:val="00DB6D95"/>
    <w:rsid w:val="00DB71D8"/>
    <w:rsid w:val="00DB74F4"/>
    <w:rsid w:val="00DB79F5"/>
    <w:rsid w:val="00DB7D3A"/>
    <w:rsid w:val="00DC093F"/>
    <w:rsid w:val="00DC0EB3"/>
    <w:rsid w:val="00DC2703"/>
    <w:rsid w:val="00DC3531"/>
    <w:rsid w:val="00DC3700"/>
    <w:rsid w:val="00DC3E33"/>
    <w:rsid w:val="00DC4561"/>
    <w:rsid w:val="00DC663F"/>
    <w:rsid w:val="00DC6819"/>
    <w:rsid w:val="00DC68AA"/>
    <w:rsid w:val="00DC6943"/>
    <w:rsid w:val="00DC7169"/>
    <w:rsid w:val="00DC721D"/>
    <w:rsid w:val="00DC765C"/>
    <w:rsid w:val="00DC766D"/>
    <w:rsid w:val="00DC7D8E"/>
    <w:rsid w:val="00DD001B"/>
    <w:rsid w:val="00DD12C2"/>
    <w:rsid w:val="00DD2ED3"/>
    <w:rsid w:val="00DD31E3"/>
    <w:rsid w:val="00DD3B98"/>
    <w:rsid w:val="00DD3F97"/>
    <w:rsid w:val="00DD4356"/>
    <w:rsid w:val="00DD556B"/>
    <w:rsid w:val="00DD58D8"/>
    <w:rsid w:val="00DD785B"/>
    <w:rsid w:val="00DD79E2"/>
    <w:rsid w:val="00DE0029"/>
    <w:rsid w:val="00DE25DE"/>
    <w:rsid w:val="00DE296E"/>
    <w:rsid w:val="00DE2D56"/>
    <w:rsid w:val="00DE3071"/>
    <w:rsid w:val="00DE352F"/>
    <w:rsid w:val="00DE492E"/>
    <w:rsid w:val="00DE75A8"/>
    <w:rsid w:val="00DE7FB7"/>
    <w:rsid w:val="00DF143F"/>
    <w:rsid w:val="00DF1485"/>
    <w:rsid w:val="00DF3241"/>
    <w:rsid w:val="00DF56C0"/>
    <w:rsid w:val="00DF637C"/>
    <w:rsid w:val="00E003A6"/>
    <w:rsid w:val="00E02C6B"/>
    <w:rsid w:val="00E02D78"/>
    <w:rsid w:val="00E02DE1"/>
    <w:rsid w:val="00E02E1A"/>
    <w:rsid w:val="00E02ED5"/>
    <w:rsid w:val="00E044C8"/>
    <w:rsid w:val="00E046B4"/>
    <w:rsid w:val="00E04D45"/>
    <w:rsid w:val="00E04F9D"/>
    <w:rsid w:val="00E0511A"/>
    <w:rsid w:val="00E05564"/>
    <w:rsid w:val="00E05994"/>
    <w:rsid w:val="00E05C4F"/>
    <w:rsid w:val="00E05D3B"/>
    <w:rsid w:val="00E05FE1"/>
    <w:rsid w:val="00E065E2"/>
    <w:rsid w:val="00E07D9F"/>
    <w:rsid w:val="00E07EDD"/>
    <w:rsid w:val="00E1239A"/>
    <w:rsid w:val="00E13769"/>
    <w:rsid w:val="00E17BE5"/>
    <w:rsid w:val="00E17EE1"/>
    <w:rsid w:val="00E21826"/>
    <w:rsid w:val="00E21E20"/>
    <w:rsid w:val="00E221F6"/>
    <w:rsid w:val="00E22A8E"/>
    <w:rsid w:val="00E22DC8"/>
    <w:rsid w:val="00E23D42"/>
    <w:rsid w:val="00E24870"/>
    <w:rsid w:val="00E24F8C"/>
    <w:rsid w:val="00E2579B"/>
    <w:rsid w:val="00E26690"/>
    <w:rsid w:val="00E27B19"/>
    <w:rsid w:val="00E30C69"/>
    <w:rsid w:val="00E3108C"/>
    <w:rsid w:val="00E31B94"/>
    <w:rsid w:val="00E323FC"/>
    <w:rsid w:val="00E32DBB"/>
    <w:rsid w:val="00E35D12"/>
    <w:rsid w:val="00E35E1A"/>
    <w:rsid w:val="00E3631C"/>
    <w:rsid w:val="00E3694A"/>
    <w:rsid w:val="00E36AB6"/>
    <w:rsid w:val="00E422E0"/>
    <w:rsid w:val="00E425F6"/>
    <w:rsid w:val="00E4279B"/>
    <w:rsid w:val="00E43EE0"/>
    <w:rsid w:val="00E43F16"/>
    <w:rsid w:val="00E44F9C"/>
    <w:rsid w:val="00E46255"/>
    <w:rsid w:val="00E47ABA"/>
    <w:rsid w:val="00E47D13"/>
    <w:rsid w:val="00E50532"/>
    <w:rsid w:val="00E50FD8"/>
    <w:rsid w:val="00E52C84"/>
    <w:rsid w:val="00E53F47"/>
    <w:rsid w:val="00E55423"/>
    <w:rsid w:val="00E55C20"/>
    <w:rsid w:val="00E5661D"/>
    <w:rsid w:val="00E56C84"/>
    <w:rsid w:val="00E6040B"/>
    <w:rsid w:val="00E61825"/>
    <w:rsid w:val="00E61C07"/>
    <w:rsid w:val="00E6238E"/>
    <w:rsid w:val="00E627B1"/>
    <w:rsid w:val="00E6374B"/>
    <w:rsid w:val="00E6424B"/>
    <w:rsid w:val="00E644C3"/>
    <w:rsid w:val="00E66508"/>
    <w:rsid w:val="00E6784F"/>
    <w:rsid w:val="00E67D92"/>
    <w:rsid w:val="00E7007B"/>
    <w:rsid w:val="00E7012E"/>
    <w:rsid w:val="00E708FD"/>
    <w:rsid w:val="00E71926"/>
    <w:rsid w:val="00E727A2"/>
    <w:rsid w:val="00E73AC9"/>
    <w:rsid w:val="00E744A7"/>
    <w:rsid w:val="00E74779"/>
    <w:rsid w:val="00E75451"/>
    <w:rsid w:val="00E75F73"/>
    <w:rsid w:val="00E77402"/>
    <w:rsid w:val="00E77DA8"/>
    <w:rsid w:val="00E8092C"/>
    <w:rsid w:val="00E816F4"/>
    <w:rsid w:val="00E82C38"/>
    <w:rsid w:val="00E830FE"/>
    <w:rsid w:val="00E84766"/>
    <w:rsid w:val="00E84CE3"/>
    <w:rsid w:val="00E867DA"/>
    <w:rsid w:val="00E86EC9"/>
    <w:rsid w:val="00E875EE"/>
    <w:rsid w:val="00E9009A"/>
    <w:rsid w:val="00E924C2"/>
    <w:rsid w:val="00E92DE4"/>
    <w:rsid w:val="00E92FAD"/>
    <w:rsid w:val="00E94C6B"/>
    <w:rsid w:val="00E94F17"/>
    <w:rsid w:val="00E95135"/>
    <w:rsid w:val="00E96BF4"/>
    <w:rsid w:val="00EA21F9"/>
    <w:rsid w:val="00EA28F2"/>
    <w:rsid w:val="00EA2A54"/>
    <w:rsid w:val="00EA38E1"/>
    <w:rsid w:val="00EA5225"/>
    <w:rsid w:val="00EA5312"/>
    <w:rsid w:val="00EA5711"/>
    <w:rsid w:val="00EA6D87"/>
    <w:rsid w:val="00EB0CF8"/>
    <w:rsid w:val="00EB1BD8"/>
    <w:rsid w:val="00EB20FC"/>
    <w:rsid w:val="00EB233E"/>
    <w:rsid w:val="00EB4623"/>
    <w:rsid w:val="00EB4FC9"/>
    <w:rsid w:val="00EB5673"/>
    <w:rsid w:val="00EB6074"/>
    <w:rsid w:val="00EB72C6"/>
    <w:rsid w:val="00EB7F8B"/>
    <w:rsid w:val="00EC0187"/>
    <w:rsid w:val="00EC04D6"/>
    <w:rsid w:val="00EC1C9F"/>
    <w:rsid w:val="00EC20DC"/>
    <w:rsid w:val="00EC456D"/>
    <w:rsid w:val="00EC5697"/>
    <w:rsid w:val="00EC5F8B"/>
    <w:rsid w:val="00EC6284"/>
    <w:rsid w:val="00EC70D0"/>
    <w:rsid w:val="00EC76D5"/>
    <w:rsid w:val="00ED13A5"/>
    <w:rsid w:val="00ED4600"/>
    <w:rsid w:val="00ED51EB"/>
    <w:rsid w:val="00ED5DB6"/>
    <w:rsid w:val="00ED71C3"/>
    <w:rsid w:val="00EE06F1"/>
    <w:rsid w:val="00EE1555"/>
    <w:rsid w:val="00EE1901"/>
    <w:rsid w:val="00EE24D8"/>
    <w:rsid w:val="00EE507C"/>
    <w:rsid w:val="00EE558E"/>
    <w:rsid w:val="00EF0D9B"/>
    <w:rsid w:val="00EF0DE4"/>
    <w:rsid w:val="00EF10FF"/>
    <w:rsid w:val="00EF243F"/>
    <w:rsid w:val="00EF2498"/>
    <w:rsid w:val="00EF25B1"/>
    <w:rsid w:val="00EF26AF"/>
    <w:rsid w:val="00EF285A"/>
    <w:rsid w:val="00EF3376"/>
    <w:rsid w:val="00EF3E79"/>
    <w:rsid w:val="00EF4345"/>
    <w:rsid w:val="00EF52C4"/>
    <w:rsid w:val="00EF532E"/>
    <w:rsid w:val="00EF5B4A"/>
    <w:rsid w:val="00F00C43"/>
    <w:rsid w:val="00F00EC0"/>
    <w:rsid w:val="00F01301"/>
    <w:rsid w:val="00F01781"/>
    <w:rsid w:val="00F025D8"/>
    <w:rsid w:val="00F02D35"/>
    <w:rsid w:val="00F0365D"/>
    <w:rsid w:val="00F03ED0"/>
    <w:rsid w:val="00F04559"/>
    <w:rsid w:val="00F05D9C"/>
    <w:rsid w:val="00F0618C"/>
    <w:rsid w:val="00F064BC"/>
    <w:rsid w:val="00F065A4"/>
    <w:rsid w:val="00F077B5"/>
    <w:rsid w:val="00F07F03"/>
    <w:rsid w:val="00F10145"/>
    <w:rsid w:val="00F10466"/>
    <w:rsid w:val="00F113DD"/>
    <w:rsid w:val="00F114CF"/>
    <w:rsid w:val="00F119D5"/>
    <w:rsid w:val="00F11D1A"/>
    <w:rsid w:val="00F11E9D"/>
    <w:rsid w:val="00F120DF"/>
    <w:rsid w:val="00F12949"/>
    <w:rsid w:val="00F12EBB"/>
    <w:rsid w:val="00F13616"/>
    <w:rsid w:val="00F13B1B"/>
    <w:rsid w:val="00F14B6B"/>
    <w:rsid w:val="00F15174"/>
    <w:rsid w:val="00F15F36"/>
    <w:rsid w:val="00F1650C"/>
    <w:rsid w:val="00F16CFB"/>
    <w:rsid w:val="00F1787D"/>
    <w:rsid w:val="00F2325F"/>
    <w:rsid w:val="00F23B7B"/>
    <w:rsid w:val="00F23F75"/>
    <w:rsid w:val="00F25C19"/>
    <w:rsid w:val="00F25CF0"/>
    <w:rsid w:val="00F262B6"/>
    <w:rsid w:val="00F30C5A"/>
    <w:rsid w:val="00F3119A"/>
    <w:rsid w:val="00F31F9B"/>
    <w:rsid w:val="00F322A8"/>
    <w:rsid w:val="00F328FC"/>
    <w:rsid w:val="00F338ED"/>
    <w:rsid w:val="00F339EE"/>
    <w:rsid w:val="00F33C29"/>
    <w:rsid w:val="00F34ABF"/>
    <w:rsid w:val="00F36642"/>
    <w:rsid w:val="00F36CD6"/>
    <w:rsid w:val="00F37736"/>
    <w:rsid w:val="00F40779"/>
    <w:rsid w:val="00F415FB"/>
    <w:rsid w:val="00F416DC"/>
    <w:rsid w:val="00F42489"/>
    <w:rsid w:val="00F42826"/>
    <w:rsid w:val="00F42F28"/>
    <w:rsid w:val="00F435CB"/>
    <w:rsid w:val="00F43A98"/>
    <w:rsid w:val="00F448AA"/>
    <w:rsid w:val="00F44A9F"/>
    <w:rsid w:val="00F44E0F"/>
    <w:rsid w:val="00F4533C"/>
    <w:rsid w:val="00F45D1D"/>
    <w:rsid w:val="00F463B7"/>
    <w:rsid w:val="00F46524"/>
    <w:rsid w:val="00F477A1"/>
    <w:rsid w:val="00F52899"/>
    <w:rsid w:val="00F52CDB"/>
    <w:rsid w:val="00F5497D"/>
    <w:rsid w:val="00F5560C"/>
    <w:rsid w:val="00F55DB5"/>
    <w:rsid w:val="00F6006E"/>
    <w:rsid w:val="00F6010A"/>
    <w:rsid w:val="00F625BD"/>
    <w:rsid w:val="00F63830"/>
    <w:rsid w:val="00F63CC9"/>
    <w:rsid w:val="00F65030"/>
    <w:rsid w:val="00F65C7B"/>
    <w:rsid w:val="00F66811"/>
    <w:rsid w:val="00F7027E"/>
    <w:rsid w:val="00F7041E"/>
    <w:rsid w:val="00F70DBF"/>
    <w:rsid w:val="00F74400"/>
    <w:rsid w:val="00F778EE"/>
    <w:rsid w:val="00F77EE4"/>
    <w:rsid w:val="00F810B6"/>
    <w:rsid w:val="00F8170D"/>
    <w:rsid w:val="00F82C2C"/>
    <w:rsid w:val="00F8308C"/>
    <w:rsid w:val="00F83ECF"/>
    <w:rsid w:val="00F840C1"/>
    <w:rsid w:val="00F8491D"/>
    <w:rsid w:val="00F84E0B"/>
    <w:rsid w:val="00F85D0E"/>
    <w:rsid w:val="00F85F6D"/>
    <w:rsid w:val="00F86C97"/>
    <w:rsid w:val="00F877B5"/>
    <w:rsid w:val="00F91DC2"/>
    <w:rsid w:val="00F94046"/>
    <w:rsid w:val="00F940D7"/>
    <w:rsid w:val="00F9591C"/>
    <w:rsid w:val="00F96C66"/>
    <w:rsid w:val="00F97072"/>
    <w:rsid w:val="00FA122F"/>
    <w:rsid w:val="00FA536D"/>
    <w:rsid w:val="00FA727A"/>
    <w:rsid w:val="00FB0FD0"/>
    <w:rsid w:val="00FB222A"/>
    <w:rsid w:val="00FB45FC"/>
    <w:rsid w:val="00FB55D8"/>
    <w:rsid w:val="00FB582E"/>
    <w:rsid w:val="00FB7009"/>
    <w:rsid w:val="00FB7EC0"/>
    <w:rsid w:val="00FC4420"/>
    <w:rsid w:val="00FC4C7C"/>
    <w:rsid w:val="00FC7DCD"/>
    <w:rsid w:val="00FD0089"/>
    <w:rsid w:val="00FD10E0"/>
    <w:rsid w:val="00FD1844"/>
    <w:rsid w:val="00FD1AAA"/>
    <w:rsid w:val="00FD2AB6"/>
    <w:rsid w:val="00FD2E09"/>
    <w:rsid w:val="00FD453F"/>
    <w:rsid w:val="00FD664D"/>
    <w:rsid w:val="00FD709C"/>
    <w:rsid w:val="00FD7B95"/>
    <w:rsid w:val="00FE0796"/>
    <w:rsid w:val="00FE1680"/>
    <w:rsid w:val="00FE2CF6"/>
    <w:rsid w:val="00FE37EC"/>
    <w:rsid w:val="00FE3962"/>
    <w:rsid w:val="00FF0DD3"/>
    <w:rsid w:val="00FF137F"/>
    <w:rsid w:val="00FF2B0B"/>
    <w:rsid w:val="00FF3537"/>
    <w:rsid w:val="00FF471D"/>
    <w:rsid w:val="00FF4B11"/>
    <w:rsid w:val="00FF4BBD"/>
    <w:rsid w:val="00FF57A9"/>
    <w:rsid w:val="00FF609A"/>
    <w:rsid w:val="00FF64B6"/>
    <w:rsid w:val="00FF6589"/>
    <w:rsid w:val="00FF6F42"/>
    <w:rsid w:val="00FF72CD"/>
    <w:rsid w:val="01541D0E"/>
    <w:rsid w:val="018F7A4A"/>
    <w:rsid w:val="01C5524F"/>
    <w:rsid w:val="030E2A16"/>
    <w:rsid w:val="047D07BD"/>
    <w:rsid w:val="04AC6D40"/>
    <w:rsid w:val="06364907"/>
    <w:rsid w:val="066160DF"/>
    <w:rsid w:val="07BF63C2"/>
    <w:rsid w:val="097B4FDA"/>
    <w:rsid w:val="09E40A50"/>
    <w:rsid w:val="0A122B37"/>
    <w:rsid w:val="0A265262"/>
    <w:rsid w:val="0A9F7F98"/>
    <w:rsid w:val="0BB44DF4"/>
    <w:rsid w:val="0BC061E2"/>
    <w:rsid w:val="0D0704F9"/>
    <w:rsid w:val="0D077803"/>
    <w:rsid w:val="0DF87D97"/>
    <w:rsid w:val="0E440DE2"/>
    <w:rsid w:val="0EBA5182"/>
    <w:rsid w:val="0FA75F96"/>
    <w:rsid w:val="10005625"/>
    <w:rsid w:val="11AF1E0E"/>
    <w:rsid w:val="121408EE"/>
    <w:rsid w:val="122F5241"/>
    <w:rsid w:val="13017544"/>
    <w:rsid w:val="139A64B3"/>
    <w:rsid w:val="14092532"/>
    <w:rsid w:val="1450332A"/>
    <w:rsid w:val="14E05AF4"/>
    <w:rsid w:val="15941A81"/>
    <w:rsid w:val="15AB472C"/>
    <w:rsid w:val="15E87936"/>
    <w:rsid w:val="162D4714"/>
    <w:rsid w:val="178675A7"/>
    <w:rsid w:val="180F29AF"/>
    <w:rsid w:val="1AE5585A"/>
    <w:rsid w:val="1C33109E"/>
    <w:rsid w:val="1C382FD9"/>
    <w:rsid w:val="1CD22138"/>
    <w:rsid w:val="1D1225FE"/>
    <w:rsid w:val="1D4B7F1D"/>
    <w:rsid w:val="1D724123"/>
    <w:rsid w:val="1DE81517"/>
    <w:rsid w:val="1EFD41DA"/>
    <w:rsid w:val="1F043E0F"/>
    <w:rsid w:val="1F1E4560"/>
    <w:rsid w:val="20B207C9"/>
    <w:rsid w:val="20D33847"/>
    <w:rsid w:val="212B7DE6"/>
    <w:rsid w:val="217E06FB"/>
    <w:rsid w:val="22203888"/>
    <w:rsid w:val="2277261D"/>
    <w:rsid w:val="236F48A7"/>
    <w:rsid w:val="23F87A5A"/>
    <w:rsid w:val="245E6D18"/>
    <w:rsid w:val="24980259"/>
    <w:rsid w:val="249E5A25"/>
    <w:rsid w:val="25F70700"/>
    <w:rsid w:val="267849AF"/>
    <w:rsid w:val="287070C2"/>
    <w:rsid w:val="28794F60"/>
    <w:rsid w:val="28972D25"/>
    <w:rsid w:val="2B84723A"/>
    <w:rsid w:val="2C1D6A7D"/>
    <w:rsid w:val="2D0033A1"/>
    <w:rsid w:val="2D5C274D"/>
    <w:rsid w:val="2EE24393"/>
    <w:rsid w:val="2F667606"/>
    <w:rsid w:val="2F85012B"/>
    <w:rsid w:val="2FC27535"/>
    <w:rsid w:val="3081343B"/>
    <w:rsid w:val="30F72992"/>
    <w:rsid w:val="31193B64"/>
    <w:rsid w:val="313F7AC2"/>
    <w:rsid w:val="3165725B"/>
    <w:rsid w:val="31C2572E"/>
    <w:rsid w:val="32BB0724"/>
    <w:rsid w:val="32D07C27"/>
    <w:rsid w:val="363E09DE"/>
    <w:rsid w:val="36725A83"/>
    <w:rsid w:val="367C3E05"/>
    <w:rsid w:val="36BB4601"/>
    <w:rsid w:val="37376EE0"/>
    <w:rsid w:val="373A5D85"/>
    <w:rsid w:val="383D0310"/>
    <w:rsid w:val="392539E3"/>
    <w:rsid w:val="397D3CF4"/>
    <w:rsid w:val="3A992C39"/>
    <w:rsid w:val="3ACA187B"/>
    <w:rsid w:val="3C2F25DD"/>
    <w:rsid w:val="3D0672F4"/>
    <w:rsid w:val="3D764D2B"/>
    <w:rsid w:val="3E2F6128"/>
    <w:rsid w:val="3F69717C"/>
    <w:rsid w:val="404072D6"/>
    <w:rsid w:val="40D45BFA"/>
    <w:rsid w:val="41347484"/>
    <w:rsid w:val="419F422C"/>
    <w:rsid w:val="422A2E89"/>
    <w:rsid w:val="42EB6F8F"/>
    <w:rsid w:val="42EE06E3"/>
    <w:rsid w:val="440F3190"/>
    <w:rsid w:val="45A5752E"/>
    <w:rsid w:val="45B02EC6"/>
    <w:rsid w:val="47314999"/>
    <w:rsid w:val="47A975E8"/>
    <w:rsid w:val="48F3497B"/>
    <w:rsid w:val="490F0E27"/>
    <w:rsid w:val="49157F99"/>
    <w:rsid w:val="4A394937"/>
    <w:rsid w:val="4AB622B9"/>
    <w:rsid w:val="4B08650A"/>
    <w:rsid w:val="4B4515DF"/>
    <w:rsid w:val="4BFC2F2C"/>
    <w:rsid w:val="4C452244"/>
    <w:rsid w:val="4C945648"/>
    <w:rsid w:val="4D6D3F0E"/>
    <w:rsid w:val="4DBF4740"/>
    <w:rsid w:val="4E6E471F"/>
    <w:rsid w:val="4EF95E37"/>
    <w:rsid w:val="4F5B6D31"/>
    <w:rsid w:val="4F8F1092"/>
    <w:rsid w:val="4FFB7DBA"/>
    <w:rsid w:val="50E2767E"/>
    <w:rsid w:val="51C81905"/>
    <w:rsid w:val="525D50AD"/>
    <w:rsid w:val="52C13437"/>
    <w:rsid w:val="535115E9"/>
    <w:rsid w:val="54896CAF"/>
    <w:rsid w:val="56260539"/>
    <w:rsid w:val="57314FF3"/>
    <w:rsid w:val="57691AD8"/>
    <w:rsid w:val="5773045C"/>
    <w:rsid w:val="583346B1"/>
    <w:rsid w:val="5884545D"/>
    <w:rsid w:val="58A05BE8"/>
    <w:rsid w:val="58BC1371"/>
    <w:rsid w:val="5A1A2523"/>
    <w:rsid w:val="5B9E5A3D"/>
    <w:rsid w:val="5C6B0528"/>
    <w:rsid w:val="5C9B67E1"/>
    <w:rsid w:val="5D477705"/>
    <w:rsid w:val="5DD61A72"/>
    <w:rsid w:val="5ED2432A"/>
    <w:rsid w:val="5EE91BC6"/>
    <w:rsid w:val="5F946BA8"/>
    <w:rsid w:val="5FE027B9"/>
    <w:rsid w:val="5FE86FFA"/>
    <w:rsid w:val="601A7B38"/>
    <w:rsid w:val="601E59C3"/>
    <w:rsid w:val="60A753BD"/>
    <w:rsid w:val="60BB17F7"/>
    <w:rsid w:val="61B3686A"/>
    <w:rsid w:val="621707F6"/>
    <w:rsid w:val="62FF643E"/>
    <w:rsid w:val="63235048"/>
    <w:rsid w:val="63CF7631"/>
    <w:rsid w:val="63E31CBB"/>
    <w:rsid w:val="63EF49BB"/>
    <w:rsid w:val="6459685F"/>
    <w:rsid w:val="64915F96"/>
    <w:rsid w:val="64F76853"/>
    <w:rsid w:val="659A3677"/>
    <w:rsid w:val="66527D73"/>
    <w:rsid w:val="67714FBB"/>
    <w:rsid w:val="682C5CFE"/>
    <w:rsid w:val="68801558"/>
    <w:rsid w:val="68920AB2"/>
    <w:rsid w:val="6A944B59"/>
    <w:rsid w:val="6B841C6F"/>
    <w:rsid w:val="6C5E35A5"/>
    <w:rsid w:val="6CC32CF3"/>
    <w:rsid w:val="6CE10CBC"/>
    <w:rsid w:val="6E947DEA"/>
    <w:rsid w:val="6E99314B"/>
    <w:rsid w:val="6F14098B"/>
    <w:rsid w:val="6FEF0B9D"/>
    <w:rsid w:val="705A5FD9"/>
    <w:rsid w:val="71894F99"/>
    <w:rsid w:val="719F2E1C"/>
    <w:rsid w:val="7290243C"/>
    <w:rsid w:val="72D96CCA"/>
    <w:rsid w:val="734337D9"/>
    <w:rsid w:val="73461324"/>
    <w:rsid w:val="73AA0F2C"/>
    <w:rsid w:val="74C83D9C"/>
    <w:rsid w:val="76C7021B"/>
    <w:rsid w:val="77581F68"/>
    <w:rsid w:val="778320BB"/>
    <w:rsid w:val="77D934D0"/>
    <w:rsid w:val="7873167B"/>
    <w:rsid w:val="7A813731"/>
    <w:rsid w:val="7AE93CB3"/>
    <w:rsid w:val="7BDF7FCA"/>
    <w:rsid w:val="7BE66171"/>
    <w:rsid w:val="7CC82D7E"/>
    <w:rsid w:val="7DE703A9"/>
    <w:rsid w:val="7E1E6392"/>
    <w:rsid w:val="7E9B637A"/>
    <w:rsid w:val="7EF8383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iPriority="0" w:semiHidden="0" w:name="heading 4" w:locked="1"/>
    <w:lsdException w:qFormat="1" w:uiPriority="0"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nhideWhenUsed="0"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99" w:name="Normal Indent"/>
    <w:lsdException w:uiPriority="99" w:name="footnote text"/>
    <w:lsdException w:qFormat="1" w:unhideWhenUsed="0"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qFormat="1" w:unhideWhenUsed="0" w:uiPriority="99" w:semiHidden="0"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qFormat="1" w:unhideWhenUsed="0"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1"/>
      <w:lang w:val="en-US" w:eastAsia="zh-CN" w:bidi="ar-SA"/>
    </w:rPr>
  </w:style>
  <w:style w:type="paragraph" w:styleId="2">
    <w:name w:val="heading 1"/>
    <w:basedOn w:val="1"/>
    <w:next w:val="1"/>
    <w:link w:val="32"/>
    <w:qFormat/>
    <w:uiPriority w:val="99"/>
    <w:pPr>
      <w:keepNext/>
      <w:spacing w:before="143" w:after="143"/>
      <w:ind w:firstLine="0" w:firstLineChars="0"/>
      <w:jc w:val="left"/>
      <w:outlineLvl w:val="0"/>
    </w:pPr>
    <w:rPr>
      <w:b/>
      <w:bCs/>
      <w:spacing w:val="-12"/>
      <w:sz w:val="32"/>
      <w:szCs w:val="24"/>
    </w:rPr>
  </w:style>
  <w:style w:type="paragraph" w:styleId="3">
    <w:name w:val="heading 2"/>
    <w:basedOn w:val="1"/>
    <w:next w:val="1"/>
    <w:link w:val="33"/>
    <w:qFormat/>
    <w:uiPriority w:val="0"/>
    <w:pPr>
      <w:keepNext/>
      <w:keepLines/>
      <w:numPr>
        <w:ilvl w:val="0"/>
        <w:numId w:val="1"/>
      </w:numPr>
      <w:adjustRightInd w:val="0"/>
      <w:snapToGrid w:val="0"/>
      <w:spacing w:before="260"/>
      <w:ind w:left="0" w:firstLine="0" w:firstLineChars="0"/>
      <w:jc w:val="left"/>
      <w:outlineLvl w:val="1"/>
    </w:pPr>
    <w:rPr>
      <w:rFonts w:ascii="宋体" w:hAnsi="宋体"/>
      <w:b/>
      <w:sz w:val="32"/>
      <w:szCs w:val="28"/>
    </w:rPr>
  </w:style>
  <w:style w:type="paragraph" w:styleId="4">
    <w:name w:val="heading 3"/>
    <w:basedOn w:val="1"/>
    <w:next w:val="1"/>
    <w:link w:val="34"/>
    <w:qFormat/>
    <w:uiPriority w:val="99"/>
    <w:pPr>
      <w:keepNext/>
      <w:keepLines/>
      <w:numPr>
        <w:ilvl w:val="1"/>
        <w:numId w:val="1"/>
      </w:numPr>
      <w:tabs>
        <w:tab w:val="left" w:pos="1135"/>
      </w:tabs>
      <w:ind w:left="1247" w:firstLine="0" w:firstLineChars="0"/>
      <w:jc w:val="left"/>
      <w:outlineLvl w:val="2"/>
    </w:pPr>
    <w:rPr>
      <w:bCs/>
      <w:szCs w:val="32"/>
    </w:rPr>
  </w:style>
  <w:style w:type="paragraph" w:styleId="5">
    <w:name w:val="heading 4"/>
    <w:basedOn w:val="1"/>
    <w:next w:val="1"/>
    <w:link w:val="64"/>
    <w:unhideWhenUsed/>
    <w:qFormat/>
    <w:locked/>
    <w:uiPriority w:val="0"/>
    <w:pPr>
      <w:keepNext/>
      <w:keepLines/>
      <w:numPr>
        <w:ilvl w:val="2"/>
        <w:numId w:val="1"/>
      </w:numPr>
      <w:spacing w:before="120" w:after="120"/>
      <w:ind w:left="0" w:firstLine="0" w:firstLineChars="0"/>
      <w:jc w:val="left"/>
      <w:outlineLvl w:val="3"/>
    </w:pPr>
    <w:rPr>
      <w:rFonts w:eastAsia="黑体"/>
      <w:bCs/>
      <w:szCs w:val="28"/>
    </w:rPr>
  </w:style>
  <w:style w:type="paragraph" w:styleId="6">
    <w:name w:val="heading 5"/>
    <w:basedOn w:val="1"/>
    <w:next w:val="1"/>
    <w:link w:val="65"/>
    <w:unhideWhenUsed/>
    <w:qFormat/>
    <w:locked/>
    <w:uiPriority w:val="0"/>
    <w:pPr>
      <w:keepNext/>
      <w:keepLines/>
      <w:spacing w:before="280" w:after="290" w:line="376" w:lineRule="auto"/>
      <w:outlineLvl w:val="4"/>
    </w:pPr>
    <w:rPr>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7">
    <w:name w:val="Document Map"/>
    <w:basedOn w:val="1"/>
    <w:link w:val="61"/>
    <w:semiHidden/>
    <w:qFormat/>
    <w:uiPriority w:val="99"/>
    <w:rPr>
      <w:rFonts w:ascii="宋体"/>
      <w:sz w:val="18"/>
      <w:szCs w:val="18"/>
    </w:rPr>
  </w:style>
  <w:style w:type="paragraph" w:styleId="8">
    <w:name w:val="annotation text"/>
    <w:basedOn w:val="1"/>
    <w:link w:val="46"/>
    <w:semiHidden/>
    <w:qFormat/>
    <w:uiPriority w:val="99"/>
    <w:rPr>
      <w:sz w:val="20"/>
      <w:szCs w:val="20"/>
    </w:rPr>
  </w:style>
  <w:style w:type="paragraph" w:styleId="9">
    <w:name w:val="Body Text"/>
    <w:basedOn w:val="1"/>
    <w:link w:val="40"/>
    <w:qFormat/>
    <w:uiPriority w:val="99"/>
    <w:pPr>
      <w:tabs>
        <w:tab w:val="left" w:pos="2583"/>
      </w:tabs>
      <w:spacing w:line="540" w:lineRule="exact"/>
    </w:pPr>
    <w:rPr>
      <w:kern w:val="0"/>
      <w:sz w:val="21"/>
    </w:rPr>
  </w:style>
  <w:style w:type="paragraph" w:styleId="10">
    <w:name w:val="Body Text Indent"/>
    <w:basedOn w:val="1"/>
    <w:link w:val="36"/>
    <w:qFormat/>
    <w:uiPriority w:val="99"/>
    <w:pPr>
      <w:tabs>
        <w:tab w:val="left" w:pos="105"/>
      </w:tabs>
      <w:ind w:firstLine="630"/>
    </w:pPr>
    <w:rPr>
      <w:kern w:val="0"/>
      <w:sz w:val="21"/>
    </w:rPr>
  </w:style>
  <w:style w:type="paragraph" w:styleId="11">
    <w:name w:val="toc 3"/>
    <w:basedOn w:val="1"/>
    <w:next w:val="1"/>
    <w:qFormat/>
    <w:uiPriority w:val="39"/>
    <w:pPr>
      <w:tabs>
        <w:tab w:val="left" w:pos="1050"/>
        <w:tab w:val="right" w:leader="dot" w:pos="9060"/>
      </w:tabs>
      <w:ind w:firstLine="0" w:firstLineChars="0"/>
    </w:pPr>
    <w:rPr>
      <w:sz w:val="21"/>
    </w:rPr>
  </w:style>
  <w:style w:type="paragraph" w:styleId="12">
    <w:name w:val="Plain Text"/>
    <w:basedOn w:val="1"/>
    <w:link w:val="35"/>
    <w:qFormat/>
    <w:uiPriority w:val="99"/>
    <w:rPr>
      <w:rFonts w:ascii="宋体" w:hAnsi="Courier New"/>
      <w:kern w:val="0"/>
      <w:sz w:val="21"/>
    </w:rPr>
  </w:style>
  <w:style w:type="paragraph" w:styleId="13">
    <w:name w:val="Date"/>
    <w:basedOn w:val="1"/>
    <w:next w:val="1"/>
    <w:link w:val="44"/>
    <w:qFormat/>
    <w:uiPriority w:val="99"/>
    <w:pPr>
      <w:autoSpaceDE w:val="0"/>
      <w:autoSpaceDN w:val="0"/>
      <w:adjustRightInd w:val="0"/>
      <w:spacing w:line="312" w:lineRule="atLeast"/>
      <w:jc w:val="right"/>
      <w:textAlignment w:val="baseline"/>
    </w:pPr>
    <w:rPr>
      <w:kern w:val="0"/>
      <w:sz w:val="21"/>
    </w:rPr>
  </w:style>
  <w:style w:type="paragraph" w:styleId="14">
    <w:name w:val="Body Text Indent 2"/>
    <w:basedOn w:val="1"/>
    <w:link w:val="39"/>
    <w:qFormat/>
    <w:uiPriority w:val="99"/>
    <w:pPr>
      <w:adjustRightInd w:val="0"/>
      <w:snapToGrid w:val="0"/>
      <w:ind w:firstLine="560"/>
    </w:pPr>
    <w:rPr>
      <w:kern w:val="0"/>
      <w:sz w:val="21"/>
    </w:rPr>
  </w:style>
  <w:style w:type="paragraph" w:styleId="15">
    <w:name w:val="Balloon Text"/>
    <w:basedOn w:val="1"/>
    <w:link w:val="60"/>
    <w:semiHidden/>
    <w:qFormat/>
    <w:uiPriority w:val="99"/>
    <w:rPr>
      <w:sz w:val="18"/>
      <w:szCs w:val="18"/>
    </w:rPr>
  </w:style>
  <w:style w:type="paragraph" w:styleId="16">
    <w:name w:val="footer"/>
    <w:basedOn w:val="1"/>
    <w:link w:val="37"/>
    <w:qFormat/>
    <w:uiPriority w:val="99"/>
    <w:pPr>
      <w:tabs>
        <w:tab w:val="center" w:pos="4153"/>
        <w:tab w:val="right" w:pos="8306"/>
      </w:tabs>
      <w:snapToGrid w:val="0"/>
      <w:jc w:val="left"/>
    </w:pPr>
    <w:rPr>
      <w:sz w:val="18"/>
      <w:szCs w:val="18"/>
    </w:rPr>
  </w:style>
  <w:style w:type="paragraph" w:styleId="17">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tabs>
        <w:tab w:val="right" w:leader="dot" w:pos="9060"/>
      </w:tabs>
    </w:pPr>
    <w:rPr>
      <w:rFonts w:ascii="宋体" w:hAnsi="宋体" w:cs="宋体"/>
      <w:color w:val="000000"/>
      <w:szCs w:val="24"/>
    </w:rPr>
  </w:style>
  <w:style w:type="paragraph" w:styleId="19">
    <w:name w:val="Body Text Indent 3"/>
    <w:basedOn w:val="1"/>
    <w:link w:val="41"/>
    <w:qFormat/>
    <w:uiPriority w:val="99"/>
    <w:pPr>
      <w:adjustRightInd w:val="0"/>
      <w:snapToGrid w:val="0"/>
      <w:ind w:left="945" w:leftChars="450"/>
    </w:pPr>
    <w:rPr>
      <w:kern w:val="0"/>
      <w:sz w:val="16"/>
      <w:szCs w:val="16"/>
    </w:rPr>
  </w:style>
  <w:style w:type="paragraph" w:styleId="20">
    <w:name w:val="toc 2"/>
    <w:basedOn w:val="1"/>
    <w:next w:val="1"/>
    <w:qFormat/>
    <w:uiPriority w:val="39"/>
    <w:pPr>
      <w:tabs>
        <w:tab w:val="left" w:pos="570"/>
        <w:tab w:val="right" w:leader="dot" w:pos="9060"/>
      </w:tabs>
      <w:ind w:firstLine="0" w:firstLineChars="0"/>
      <w:jc w:val="left"/>
    </w:pPr>
  </w:style>
  <w:style w:type="paragraph" w:styleId="21">
    <w:name w:val="Body Text 2"/>
    <w:basedOn w:val="1"/>
    <w:link w:val="42"/>
    <w:qFormat/>
    <w:uiPriority w:val="99"/>
    <w:pPr>
      <w:spacing w:after="120" w:line="480" w:lineRule="auto"/>
    </w:pPr>
    <w:rPr>
      <w:kern w:val="0"/>
      <w:sz w:val="21"/>
    </w:rPr>
  </w:style>
  <w:style w:type="paragraph" w:styleId="22">
    <w:name w:val="index 1"/>
    <w:basedOn w:val="1"/>
    <w:next w:val="1"/>
    <w:semiHidden/>
    <w:qFormat/>
    <w:uiPriority w:val="99"/>
  </w:style>
  <w:style w:type="paragraph" w:styleId="23">
    <w:name w:val="annotation subject"/>
    <w:basedOn w:val="8"/>
    <w:next w:val="8"/>
    <w:link w:val="49"/>
    <w:semiHidden/>
    <w:qFormat/>
    <w:uiPriority w:val="99"/>
    <w:pPr>
      <w:adjustRightInd w:val="0"/>
      <w:spacing w:line="360" w:lineRule="atLeast"/>
      <w:jc w:val="left"/>
      <w:textAlignment w:val="baseline"/>
    </w:pPr>
    <w:rPr>
      <w:b/>
      <w:bCs/>
      <w:sz w:val="21"/>
      <w:szCs w:val="21"/>
    </w:rPr>
  </w:style>
  <w:style w:type="paragraph" w:styleId="24">
    <w:name w:val="Body Text First Indent"/>
    <w:basedOn w:val="9"/>
    <w:link w:val="45"/>
    <w:qFormat/>
    <w:uiPriority w:val="99"/>
    <w:pPr>
      <w:adjustRightInd w:val="0"/>
      <w:spacing w:line="240" w:lineRule="auto"/>
      <w:ind w:firstLine="420"/>
      <w:jc w:val="left"/>
      <w:textAlignment w:val="baseline"/>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99"/>
    <w:rPr>
      <w:b/>
      <w:bCs/>
    </w:rPr>
  </w:style>
  <w:style w:type="character" w:styleId="29">
    <w:name w:val="page number"/>
    <w:basedOn w:val="27"/>
    <w:qFormat/>
    <w:uiPriority w:val="99"/>
  </w:style>
  <w:style w:type="character" w:styleId="30">
    <w:name w:val="Hyperlink"/>
    <w:qFormat/>
    <w:uiPriority w:val="99"/>
    <w:rPr>
      <w:color w:val="0000FF"/>
      <w:u w:val="single"/>
    </w:rPr>
  </w:style>
  <w:style w:type="character" w:styleId="31">
    <w:name w:val="annotation reference"/>
    <w:basedOn w:val="27"/>
    <w:semiHidden/>
    <w:unhideWhenUsed/>
    <w:qFormat/>
    <w:uiPriority w:val="99"/>
    <w:rPr>
      <w:sz w:val="21"/>
      <w:szCs w:val="21"/>
    </w:rPr>
  </w:style>
  <w:style w:type="character" w:customStyle="1" w:styleId="32">
    <w:name w:val="标题 1 Char"/>
    <w:link w:val="2"/>
    <w:qFormat/>
    <w:locked/>
    <w:uiPriority w:val="99"/>
    <w:rPr>
      <w:rFonts w:eastAsia="宋体"/>
      <w:b/>
      <w:bCs/>
      <w:spacing w:val="-12"/>
      <w:kern w:val="2"/>
      <w:sz w:val="32"/>
      <w:szCs w:val="24"/>
    </w:rPr>
  </w:style>
  <w:style w:type="character" w:customStyle="1" w:styleId="33">
    <w:name w:val="标题 2 Char"/>
    <w:link w:val="3"/>
    <w:qFormat/>
    <w:locked/>
    <w:uiPriority w:val="0"/>
    <w:rPr>
      <w:rFonts w:ascii="宋体" w:hAnsi="宋体" w:eastAsia="宋体"/>
      <w:b/>
      <w:kern w:val="2"/>
      <w:sz w:val="32"/>
      <w:szCs w:val="28"/>
    </w:rPr>
  </w:style>
  <w:style w:type="character" w:customStyle="1" w:styleId="34">
    <w:name w:val="标题 3 Char"/>
    <w:link w:val="4"/>
    <w:qFormat/>
    <w:locked/>
    <w:uiPriority w:val="99"/>
    <w:rPr>
      <w:rFonts w:eastAsia="宋体"/>
      <w:bCs/>
      <w:kern w:val="2"/>
      <w:sz w:val="24"/>
      <w:szCs w:val="32"/>
    </w:rPr>
  </w:style>
  <w:style w:type="character" w:customStyle="1" w:styleId="35">
    <w:name w:val="纯文本 Char"/>
    <w:link w:val="12"/>
    <w:semiHidden/>
    <w:qFormat/>
    <w:locked/>
    <w:uiPriority w:val="99"/>
    <w:rPr>
      <w:rFonts w:ascii="宋体" w:hAnsi="Courier New" w:cs="宋体"/>
      <w:sz w:val="21"/>
      <w:szCs w:val="21"/>
    </w:rPr>
  </w:style>
  <w:style w:type="character" w:customStyle="1" w:styleId="36">
    <w:name w:val="正文文本缩进 Char"/>
    <w:link w:val="10"/>
    <w:semiHidden/>
    <w:qFormat/>
    <w:locked/>
    <w:uiPriority w:val="99"/>
    <w:rPr>
      <w:sz w:val="21"/>
      <w:szCs w:val="21"/>
    </w:rPr>
  </w:style>
  <w:style w:type="character" w:customStyle="1" w:styleId="37">
    <w:name w:val="页脚 Char"/>
    <w:link w:val="16"/>
    <w:qFormat/>
    <w:locked/>
    <w:uiPriority w:val="99"/>
    <w:rPr>
      <w:kern w:val="2"/>
      <w:sz w:val="18"/>
      <w:szCs w:val="18"/>
    </w:rPr>
  </w:style>
  <w:style w:type="character" w:customStyle="1" w:styleId="38">
    <w:name w:val="页眉 Char"/>
    <w:link w:val="17"/>
    <w:qFormat/>
    <w:locked/>
    <w:uiPriority w:val="0"/>
    <w:rPr>
      <w:kern w:val="2"/>
      <w:sz w:val="18"/>
      <w:szCs w:val="18"/>
    </w:rPr>
  </w:style>
  <w:style w:type="character" w:customStyle="1" w:styleId="39">
    <w:name w:val="正文文本缩进 2 Char"/>
    <w:link w:val="14"/>
    <w:semiHidden/>
    <w:qFormat/>
    <w:locked/>
    <w:uiPriority w:val="99"/>
    <w:rPr>
      <w:sz w:val="21"/>
      <w:szCs w:val="21"/>
    </w:rPr>
  </w:style>
  <w:style w:type="character" w:customStyle="1" w:styleId="40">
    <w:name w:val="正文文本 Char"/>
    <w:link w:val="9"/>
    <w:semiHidden/>
    <w:qFormat/>
    <w:locked/>
    <w:uiPriority w:val="99"/>
    <w:rPr>
      <w:sz w:val="21"/>
      <w:szCs w:val="21"/>
    </w:rPr>
  </w:style>
  <w:style w:type="character" w:customStyle="1" w:styleId="41">
    <w:name w:val="正文文本缩进 3 Char"/>
    <w:link w:val="19"/>
    <w:semiHidden/>
    <w:qFormat/>
    <w:locked/>
    <w:uiPriority w:val="99"/>
    <w:rPr>
      <w:sz w:val="16"/>
      <w:szCs w:val="16"/>
    </w:rPr>
  </w:style>
  <w:style w:type="character" w:customStyle="1" w:styleId="42">
    <w:name w:val="正文文本 2 Char"/>
    <w:link w:val="21"/>
    <w:semiHidden/>
    <w:qFormat/>
    <w:locked/>
    <w:uiPriority w:val="99"/>
    <w:rPr>
      <w:sz w:val="21"/>
      <w:szCs w:val="21"/>
    </w:rPr>
  </w:style>
  <w:style w:type="paragraph" w:customStyle="1" w:styleId="43">
    <w:name w:val="Char Char Char Char"/>
    <w:basedOn w:val="1"/>
    <w:qFormat/>
    <w:uiPriority w:val="99"/>
  </w:style>
  <w:style w:type="character" w:customStyle="1" w:styleId="44">
    <w:name w:val="日期 Char"/>
    <w:link w:val="13"/>
    <w:semiHidden/>
    <w:qFormat/>
    <w:locked/>
    <w:uiPriority w:val="99"/>
    <w:rPr>
      <w:sz w:val="21"/>
      <w:szCs w:val="21"/>
    </w:rPr>
  </w:style>
  <w:style w:type="character" w:customStyle="1" w:styleId="45">
    <w:name w:val="正文首行缩进 Char"/>
    <w:basedOn w:val="40"/>
    <w:link w:val="24"/>
    <w:semiHidden/>
    <w:qFormat/>
    <w:locked/>
    <w:uiPriority w:val="99"/>
    <w:rPr>
      <w:sz w:val="21"/>
      <w:szCs w:val="21"/>
    </w:rPr>
  </w:style>
  <w:style w:type="character" w:customStyle="1" w:styleId="46">
    <w:name w:val="批注文字 Char"/>
    <w:link w:val="8"/>
    <w:qFormat/>
    <w:locked/>
    <w:uiPriority w:val="99"/>
    <w:rPr>
      <w:rFonts w:eastAsia="宋体"/>
      <w:kern w:val="2"/>
      <w:lang w:val="en-US" w:eastAsia="zh-CN"/>
    </w:rPr>
  </w:style>
  <w:style w:type="paragraph" w:customStyle="1" w:styleId="47">
    <w:name w:val="Char Char Char1 Char Char Char Char Char Char Char"/>
    <w:basedOn w:val="1"/>
    <w:qFormat/>
    <w:uiPriority w:val="99"/>
    <w:rPr>
      <w:rFonts w:ascii="Tahoma" w:hAnsi="Tahoma" w:cs="Tahoma"/>
      <w:szCs w:val="24"/>
    </w:rPr>
  </w:style>
  <w:style w:type="paragraph" w:customStyle="1" w:styleId="48">
    <w:name w:val="Char Char Char1 Char Char Char Char Char Char Char1"/>
    <w:basedOn w:val="1"/>
    <w:qFormat/>
    <w:uiPriority w:val="99"/>
    <w:rPr>
      <w:rFonts w:ascii="Tahoma" w:hAnsi="Tahoma" w:cs="Tahoma"/>
      <w:szCs w:val="24"/>
    </w:rPr>
  </w:style>
  <w:style w:type="character" w:customStyle="1" w:styleId="49">
    <w:name w:val="批注主题 Char"/>
    <w:link w:val="23"/>
    <w:semiHidden/>
    <w:qFormat/>
    <w:locked/>
    <w:uiPriority w:val="99"/>
    <w:rPr>
      <w:rFonts w:eastAsia="宋体"/>
      <w:b/>
      <w:bCs/>
      <w:kern w:val="2"/>
      <w:sz w:val="21"/>
      <w:szCs w:val="21"/>
      <w:lang w:val="en-US" w:eastAsia="zh-CN"/>
    </w:rPr>
  </w:style>
  <w:style w:type="paragraph" w:customStyle="1" w:styleId="50">
    <w:name w:val="Puce2"/>
    <w:qFormat/>
    <w:uiPriority w:val="99"/>
    <w:pPr>
      <w:overflowPunct w:val="0"/>
      <w:autoSpaceDE w:val="0"/>
      <w:autoSpaceDN w:val="0"/>
      <w:adjustRightInd w:val="0"/>
      <w:spacing w:before="141" w:after="100" w:afterAutospacing="1" w:line="306" w:lineRule="atLeast"/>
      <w:ind w:left="1263" w:hanging="170" w:hangingChars="200"/>
      <w:jc w:val="both"/>
      <w:textAlignment w:val="baseline"/>
    </w:pPr>
    <w:rPr>
      <w:rFonts w:ascii="Times New Roman" w:hAnsi="Times New Roman" w:eastAsia="宋体" w:cs="Times New Roman"/>
      <w:color w:val="000000"/>
      <w:sz w:val="28"/>
      <w:szCs w:val="28"/>
      <w:lang w:val="en-US" w:eastAsia="zh-CN" w:bidi="ar-SA"/>
    </w:rPr>
  </w:style>
  <w:style w:type="paragraph" w:customStyle="1" w:styleId="51">
    <w:name w:val="1"/>
    <w:basedOn w:val="17"/>
    <w:qFormat/>
    <w:uiPriority w:val="99"/>
    <w:pPr>
      <w:pBdr>
        <w:bottom w:val="none" w:color="auto" w:sz="0" w:space="0"/>
      </w:pBdr>
    </w:pPr>
    <w:rPr>
      <w:rFonts w:eastAsia="华文新魏"/>
      <w:sz w:val="21"/>
      <w:szCs w:val="21"/>
    </w:rPr>
  </w:style>
  <w:style w:type="paragraph" w:customStyle="1" w:styleId="52">
    <w:name w:val="2"/>
    <w:basedOn w:val="1"/>
    <w:next w:val="1"/>
    <w:qFormat/>
    <w:uiPriority w:val="99"/>
    <w:pPr>
      <w:adjustRightInd w:val="0"/>
      <w:spacing w:line="360" w:lineRule="atLeast"/>
      <w:jc w:val="left"/>
      <w:textAlignment w:val="baseline"/>
    </w:pPr>
    <w:rPr>
      <w:kern w:val="0"/>
      <w:szCs w:val="24"/>
    </w:rPr>
  </w:style>
  <w:style w:type="paragraph" w:customStyle="1" w:styleId="53">
    <w:name w:val="Cover"/>
    <w:qFormat/>
    <w:uiPriority w:val="99"/>
    <w:pPr>
      <w:spacing w:before="240" w:after="240" w:afterAutospacing="1" w:line="360" w:lineRule="auto"/>
      <w:ind w:left="200" w:hanging="200" w:hangingChars="200"/>
      <w:jc w:val="center"/>
    </w:pPr>
    <w:rPr>
      <w:rFonts w:ascii="Arial" w:hAnsi="宋体" w:eastAsia="宋体" w:cs="Arial"/>
      <w:b/>
      <w:bCs/>
      <w:sz w:val="28"/>
      <w:szCs w:val="28"/>
      <w:lang w:val="en-US" w:eastAsia="zh-CN" w:bidi="ar-SA"/>
    </w:rPr>
  </w:style>
  <w:style w:type="paragraph" w:customStyle="1" w:styleId="54">
    <w:name w:val="xl2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Cs w:val="24"/>
    </w:rPr>
  </w:style>
  <w:style w:type="paragraph" w:customStyle="1" w:styleId="55">
    <w:name w:val="Default"/>
    <w:qFormat/>
    <w:uiPriority w:val="0"/>
    <w:pPr>
      <w:widowControl w:val="0"/>
      <w:autoSpaceDE w:val="0"/>
      <w:autoSpaceDN w:val="0"/>
      <w:adjustRightInd w:val="0"/>
      <w:spacing w:after="100" w:afterAutospacing="1" w:line="360" w:lineRule="auto"/>
      <w:ind w:left="200" w:hanging="200" w:hangingChars="200"/>
      <w:jc w:val="both"/>
    </w:pPr>
    <w:rPr>
      <w:rFonts w:ascii="仿宋_GB2312" w:hAnsi="Times New Roman" w:eastAsia="仿宋_GB2312" w:cs="仿宋_GB2312"/>
      <w:color w:val="000000"/>
      <w:sz w:val="24"/>
      <w:szCs w:val="24"/>
      <w:lang w:val="en-US" w:eastAsia="zh-CN" w:bidi="ar-SA"/>
    </w:rPr>
  </w:style>
  <w:style w:type="paragraph" w:customStyle="1" w:styleId="56">
    <w:name w:val="xl30"/>
    <w:basedOn w:val="1"/>
    <w:qFormat/>
    <w:uiPriority w:val="99"/>
    <w:pPr>
      <w:widowControl/>
      <w:spacing w:before="100" w:beforeAutospacing="1" w:after="100" w:afterAutospacing="1"/>
      <w:jc w:val="center"/>
      <w:textAlignment w:val="center"/>
    </w:pPr>
    <w:rPr>
      <w:rFonts w:ascii="幼圆" w:hAnsi="Arial Unicode MS" w:eastAsia="幼圆" w:cs="幼圆"/>
      <w:kern w:val="0"/>
      <w:szCs w:val="24"/>
    </w:rPr>
  </w:style>
  <w:style w:type="paragraph" w:customStyle="1" w:styleId="57">
    <w:name w:val="Short Return Address"/>
    <w:basedOn w:val="1"/>
    <w:qFormat/>
    <w:uiPriority w:val="99"/>
    <w:pPr>
      <w:adjustRightInd w:val="0"/>
      <w:spacing w:line="360" w:lineRule="atLeast"/>
      <w:jc w:val="left"/>
      <w:textAlignment w:val="baseline"/>
    </w:pPr>
    <w:rPr>
      <w:rFonts w:eastAsia="仿宋_GB2312"/>
      <w:kern w:val="0"/>
      <w:szCs w:val="24"/>
    </w:rPr>
  </w:style>
  <w:style w:type="paragraph" w:customStyle="1" w:styleId="58">
    <w:name w:val="TOC 标题1"/>
    <w:basedOn w:val="2"/>
    <w:next w:val="1"/>
    <w:qFormat/>
    <w:uiPriority w:val="39"/>
    <w:pPr>
      <w:keepLines/>
      <w:widowControl/>
      <w:spacing w:before="480" w:line="276" w:lineRule="auto"/>
      <w:outlineLvl w:val="9"/>
    </w:pPr>
    <w:rPr>
      <w:rFonts w:ascii="Cambria" w:hAnsi="Cambria" w:cs="Cambria"/>
      <w:b w:val="0"/>
      <w:bCs w:val="0"/>
      <w:color w:val="365F91"/>
      <w:spacing w:val="0"/>
      <w:kern w:val="0"/>
    </w:rPr>
  </w:style>
  <w:style w:type="paragraph" w:styleId="59">
    <w:name w:val="No Spacing"/>
    <w:qFormat/>
    <w:uiPriority w:val="99"/>
    <w:pPr>
      <w:widowControl w:val="0"/>
      <w:spacing w:after="100" w:afterAutospacing="1" w:line="360" w:lineRule="auto"/>
      <w:ind w:left="200" w:hanging="200" w:hangingChars="200"/>
      <w:jc w:val="both"/>
    </w:pPr>
    <w:rPr>
      <w:rFonts w:ascii="Times New Roman" w:hAnsi="Times New Roman" w:eastAsia="宋体" w:cs="Times New Roman"/>
      <w:kern w:val="2"/>
      <w:sz w:val="21"/>
      <w:szCs w:val="21"/>
      <w:lang w:val="en-US" w:eastAsia="zh-CN" w:bidi="ar-SA"/>
    </w:rPr>
  </w:style>
  <w:style w:type="character" w:customStyle="1" w:styleId="60">
    <w:name w:val="批注框文本 Char"/>
    <w:link w:val="15"/>
    <w:qFormat/>
    <w:locked/>
    <w:uiPriority w:val="99"/>
    <w:rPr>
      <w:kern w:val="2"/>
      <w:sz w:val="18"/>
      <w:szCs w:val="18"/>
    </w:rPr>
  </w:style>
  <w:style w:type="character" w:customStyle="1" w:styleId="61">
    <w:name w:val="文档结构图 Char"/>
    <w:link w:val="7"/>
    <w:semiHidden/>
    <w:qFormat/>
    <w:locked/>
    <w:uiPriority w:val="99"/>
    <w:rPr>
      <w:rFonts w:ascii="宋体" w:cs="宋体"/>
      <w:kern w:val="2"/>
      <w:sz w:val="18"/>
      <w:szCs w:val="18"/>
    </w:rPr>
  </w:style>
  <w:style w:type="paragraph" w:customStyle="1" w:styleId="62">
    <w:name w:val="WWW"/>
    <w:basedOn w:val="1"/>
    <w:qFormat/>
    <w:uiPriority w:val="0"/>
    <w:pPr>
      <w:widowControl/>
      <w:spacing w:before="100" w:beforeAutospacing="1" w:after="100" w:afterAutospacing="1" w:line="200" w:lineRule="atLeast"/>
      <w:ind w:left="97" w:leftChars="46" w:right="13"/>
      <w:jc w:val="center"/>
    </w:pPr>
    <w:rPr>
      <w:color w:val="000000"/>
      <w:kern w:val="10"/>
      <w:lang w:val="en-GB"/>
    </w:rPr>
  </w:style>
  <w:style w:type="paragraph" w:customStyle="1" w:styleId="63">
    <w:name w:val="正文2"/>
    <w:basedOn w:val="1"/>
    <w:qFormat/>
    <w:uiPriority w:val="0"/>
    <w:pPr>
      <w:adjustRightInd w:val="0"/>
      <w:spacing w:after="60" w:line="360" w:lineRule="atLeast"/>
      <w:ind w:left="57" w:right="57"/>
      <w:jc w:val="center"/>
      <w:textAlignment w:val="baseline"/>
    </w:pPr>
    <w:rPr>
      <w:rFonts w:ascii="宋体"/>
      <w:kern w:val="0"/>
      <w:szCs w:val="20"/>
    </w:rPr>
  </w:style>
  <w:style w:type="character" w:customStyle="1" w:styleId="64">
    <w:name w:val="标题 4 Char"/>
    <w:link w:val="5"/>
    <w:qFormat/>
    <w:uiPriority w:val="0"/>
    <w:rPr>
      <w:rFonts w:eastAsia="黑体"/>
      <w:bCs/>
      <w:kern w:val="2"/>
      <w:sz w:val="24"/>
      <w:szCs w:val="28"/>
    </w:rPr>
  </w:style>
  <w:style w:type="character" w:customStyle="1" w:styleId="65">
    <w:name w:val="标题 5 Char"/>
    <w:link w:val="6"/>
    <w:qFormat/>
    <w:uiPriority w:val="0"/>
    <w:rPr>
      <w:b/>
      <w:bCs/>
      <w:kern w:val="2"/>
      <w:sz w:val="28"/>
      <w:szCs w:val="28"/>
    </w:rPr>
  </w:style>
  <w:style w:type="paragraph" w:customStyle="1" w:styleId="66">
    <w:name w:val="列出段落4"/>
    <w:basedOn w:val="1"/>
    <w:qFormat/>
    <w:uiPriority w:val="34"/>
    <w:pPr>
      <w:spacing w:line="240" w:lineRule="auto"/>
      <w:ind w:firstLine="420"/>
    </w:pPr>
    <w:rPr>
      <w:sz w:val="21"/>
    </w:rPr>
  </w:style>
  <w:style w:type="paragraph" w:styleId="67">
    <w:name w:val="List Paragraph"/>
    <w:basedOn w:val="1"/>
    <w:qFormat/>
    <w:uiPriority w:val="99"/>
    <w:pPr>
      <w:ind w:firstLine="420"/>
    </w:pPr>
    <w:rPr>
      <w:rFonts w:ascii="Calibri" w:hAnsi="Calibri"/>
      <w:sz w:val="21"/>
      <w:szCs w:val="22"/>
    </w:rPr>
  </w:style>
  <w:style w:type="paragraph" w:customStyle="1" w:styleId="68">
    <w:name w:val="列出段落1"/>
    <w:basedOn w:val="1"/>
    <w:qFormat/>
    <w:uiPriority w:val="0"/>
    <w:pPr>
      <w:ind w:firstLine="420"/>
    </w:pPr>
    <w:rPr>
      <w:rFonts w:ascii="Calibri" w:hAnsi="Calibri"/>
      <w:sz w:val="21"/>
      <w:szCs w:val="22"/>
    </w:rPr>
  </w:style>
  <w:style w:type="paragraph" w:customStyle="1" w:styleId="69">
    <w:name w:val="段"/>
    <w:link w:val="70"/>
    <w:qFormat/>
    <w:uiPriority w:val="0"/>
    <w:pPr>
      <w:tabs>
        <w:tab w:val="center" w:pos="4201"/>
        <w:tab w:val="right" w:leader="dot" w:pos="9298"/>
      </w:tabs>
      <w:autoSpaceDE w:val="0"/>
      <w:autoSpaceDN w:val="0"/>
      <w:spacing w:before="260" w:after="260"/>
      <w:ind w:firstLine="420" w:firstLineChars="200"/>
      <w:jc w:val="both"/>
    </w:pPr>
    <w:rPr>
      <w:rFonts w:ascii="宋体" w:hAnsi="Times New Roman" w:eastAsia="宋体" w:cs="Times New Roman"/>
      <w:sz w:val="21"/>
      <w:lang w:val="en-US" w:eastAsia="zh-CN" w:bidi="ar-SA"/>
    </w:rPr>
  </w:style>
  <w:style w:type="character" w:customStyle="1" w:styleId="70">
    <w:name w:val="段 Char"/>
    <w:link w:val="69"/>
    <w:qFormat/>
    <w:uiPriority w:val="0"/>
    <w:rPr>
      <w:rFonts w:ascii="宋体"/>
      <w:sz w:val="21"/>
      <w:lang w:bidi="ar-SA"/>
    </w:rPr>
  </w:style>
  <w:style w:type="paragraph" w:customStyle="1" w:styleId="71">
    <w:name w:val="List Paragraph1"/>
    <w:basedOn w:val="1"/>
    <w:qFormat/>
    <w:uiPriority w:val="99"/>
    <w:pPr>
      <w:spacing w:line="240" w:lineRule="auto"/>
      <w:ind w:firstLine="420"/>
    </w:pPr>
    <w:rPr>
      <w:sz w:val="21"/>
    </w:rPr>
  </w:style>
  <w:style w:type="character" w:customStyle="1" w:styleId="72">
    <w:name w:val="WJJ正文 Char"/>
    <w:link w:val="73"/>
    <w:qFormat/>
    <w:locked/>
    <w:uiPriority w:val="0"/>
    <w:rPr>
      <w:rFonts w:ascii="宋体"/>
      <w:sz w:val="24"/>
    </w:rPr>
  </w:style>
  <w:style w:type="paragraph" w:customStyle="1" w:styleId="73">
    <w:name w:val="WJJ正文"/>
    <w:basedOn w:val="1"/>
    <w:next w:val="1"/>
    <w:link w:val="72"/>
    <w:qFormat/>
    <w:uiPriority w:val="0"/>
    <w:pPr>
      <w:spacing w:beforeLines="50" w:afterLines="50"/>
      <w:ind w:firstLine="482" w:firstLineChars="0"/>
    </w:pPr>
    <w:rPr>
      <w:rFonts w:ascii="宋体"/>
      <w:kern w:val="0"/>
      <w:szCs w:val="20"/>
    </w:rPr>
  </w:style>
  <w:style w:type="paragraph" w:customStyle="1" w:styleId="74">
    <w:name w:val="列出段落2"/>
    <w:basedOn w:val="1"/>
    <w:qFormat/>
    <w:uiPriority w:val="34"/>
    <w:pPr>
      <w:ind w:firstLine="420"/>
    </w:pPr>
    <w:rPr>
      <w:szCs w:val="22"/>
    </w:rPr>
  </w:style>
  <w:style w:type="character" w:customStyle="1" w:styleId="75">
    <w:name w:val="不明显强调1"/>
    <w:basedOn w:val="27"/>
    <w:qFormat/>
    <w:uiPriority w:val="19"/>
    <w:rPr>
      <w:i/>
      <w:iCs/>
      <w:color w:val="808080" w:themeColor="text1" w:themeTint="80"/>
      <w14:textFill>
        <w14:solidFill>
          <w14:schemeClr w14:val="tx1">
            <w14:lumMod w14:val="50000"/>
            <w14:lumOff w14:val="50000"/>
          </w14:schemeClr>
        </w14:solidFill>
      </w14:textFill>
    </w:rPr>
  </w:style>
  <w:style w:type="paragraph" w:customStyle="1" w:styleId="76">
    <w:name w:val="msolistparagraph"/>
    <w:basedOn w:val="1"/>
    <w:qFormat/>
    <w:uiPriority w:val="0"/>
    <w:pPr>
      <w:spacing w:line="240" w:lineRule="auto"/>
      <w:ind w:firstLine="420"/>
    </w:pPr>
    <w:rPr>
      <w:rFonts w:ascii="Calibri" w:hAnsi="Calibri"/>
      <w:sz w:val="21"/>
      <w:szCs w:val="22"/>
    </w:rPr>
  </w:style>
  <w:style w:type="paragraph" w:customStyle="1" w:styleId="77">
    <w:name w:val="p0"/>
    <w:basedOn w:val="1"/>
    <w:qFormat/>
    <w:uiPriority w:val="0"/>
    <w:pPr>
      <w:widowControl/>
      <w:spacing w:line="240" w:lineRule="auto"/>
      <w:ind w:firstLine="0" w:firstLineChars="0"/>
    </w:pPr>
    <w:rPr>
      <w:kern w:val="0"/>
      <w:sz w:val="21"/>
    </w:rPr>
  </w:style>
  <w:style w:type="paragraph" w:customStyle="1" w:styleId="78">
    <w:name w:val="WPSOffice手动目录 1"/>
    <w:qFormat/>
    <w:uiPriority w:val="0"/>
    <w:rPr>
      <w:rFonts w:ascii="Times New Roman" w:hAnsi="Times New Roman" w:eastAsia="宋体" w:cs="Times New Roman"/>
      <w:lang w:val="en-US" w:eastAsia="zh-CN" w:bidi="ar-SA"/>
    </w:rPr>
  </w:style>
  <w:style w:type="paragraph" w:customStyle="1" w:styleId="79">
    <w:name w:val="(文字) (文字)"/>
    <w:basedOn w:val="1"/>
    <w:qFormat/>
    <w:uiPriority w:val="0"/>
    <w:pPr>
      <w:spacing w:line="360" w:lineRule="auto"/>
    </w:pPr>
    <w:rPr>
      <w:rFonts w:ascii="Calibri" w:hAnsi="Calibri"/>
      <w:lang w:eastAsia="en-US" w:bidi="en-US"/>
    </w:rPr>
  </w:style>
  <w:style w:type="paragraph" w:customStyle="1" w:styleId="80">
    <w:name w:val="正文格式"/>
    <w:basedOn w:val="1"/>
    <w:qFormat/>
    <w:uiPriority w:val="0"/>
    <w:pPr>
      <w:topLinePunct/>
      <w:ind w:firstLine="420" w:firstLineChars="200"/>
    </w:pPr>
    <w:rPr>
      <w:rFonts w:ascii="宋体" w:hAnsi="宋体"/>
      <w:bCs/>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oleObject" Target="embeddings/oleObject1.bin"/></Relationships>
</file>

<file path=word/_rels/header5.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98808C-2E4C-4736-A89A-6D38F5D0EE5A}">
  <ds:schemaRefs/>
</ds:datastoreItem>
</file>

<file path=docProps/app.xml><?xml version="1.0" encoding="utf-8"?>
<Properties xmlns="http://schemas.openxmlformats.org/officeDocument/2006/extended-properties" xmlns:vt="http://schemas.openxmlformats.org/officeDocument/2006/docPropsVTypes">
  <Template>Normal.dotm</Template>
  <Company>maskeda</Company>
  <Pages>24</Pages>
  <Words>11705</Words>
  <Characters>12868</Characters>
  <Lines>65</Lines>
  <Paragraphs>18</Paragraphs>
  <TotalTime>1</TotalTime>
  <ScaleCrop>false</ScaleCrop>
  <LinksUpToDate>false</LinksUpToDate>
  <CharactersWithSpaces>13585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2023-02-13T06:32:00Z</dcterms:created>
  <dc:creator>14372</dc:creator>
  <cp:lastModifiedBy>刘琪</cp:lastModifiedBy>
  <cp:lastPrinted>2021-03-31T02:38:00Z</cp:lastPrinted>
  <dcterms:modified xsi:type="dcterms:W3CDTF">2023-07-25T07:02:28Z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85CF3C2C386847B7BB933D4AD9F9C040_13</vt:lpwstr>
  </property>
</Properties>
</file>