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Layout w:type="fixed"/>
        <w:tblCellMar>
          <w:top w:w="0" w:type="dxa"/>
          <w:left w:w="28" w:type="dxa"/>
          <w:bottom w:w="0" w:type="dxa"/>
          <w:right w:w="28" w:type="dxa"/>
        </w:tblCellMar>
      </w:tblPr>
      <w:tblGrid>
        <w:gridCol w:w="10706"/>
      </w:tblGrid>
      <w:tr w14:paraId="5EB30C76">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28" w:type="dxa"/>
            <w:bottom w:w="0" w:type="dxa"/>
            <w:right w:w="28" w:type="dxa"/>
          </w:tblCellMar>
        </w:tblPrEx>
        <w:trPr>
          <w:trHeight w:val="13007" w:hRule="atLeast"/>
          <w:jc w:val="center"/>
        </w:trPr>
        <w:tc>
          <w:tcPr>
            <w:tcW w:w="10706" w:type="dxa"/>
            <w:tcBorders>
              <w:top w:val="single" w:color="auto" w:sz="4" w:space="0"/>
              <w:left w:val="single" w:color="auto" w:sz="4" w:space="0"/>
              <w:bottom w:val="single" w:color="auto" w:sz="4" w:space="0"/>
              <w:right w:val="single" w:color="auto" w:sz="4" w:space="0"/>
            </w:tcBorders>
            <w:shd w:val="clear" w:color="auto" w:fill="auto"/>
          </w:tcPr>
          <w:p w14:paraId="5A768299">
            <w:pPr>
              <w:spacing w:line="400" w:lineRule="exact"/>
              <w:jc w:val="center"/>
              <w:rPr>
                <w:rFonts w:hint="eastAsia" w:ascii="宋体" w:hAnsi="宋体" w:eastAsia="宋体"/>
                <w:sz w:val="52"/>
              </w:rPr>
            </w:pPr>
          </w:p>
          <w:p w14:paraId="0F7CFDFA">
            <w:pPr>
              <w:spacing w:line="400" w:lineRule="exact"/>
              <w:rPr>
                <w:rFonts w:hint="eastAsia" w:ascii="宋体" w:hAnsi="宋体" w:eastAsia="宋体"/>
                <w:b/>
                <w:sz w:val="40"/>
              </w:rPr>
            </w:pPr>
            <w:r>
              <w:rPr>
                <w:rFonts w:hint="eastAsia" w:ascii="宋体" w:hAnsi="宋体" w:eastAsia="宋体"/>
                <w:b/>
                <w:sz w:val="40"/>
              </w:rPr>
              <w:t xml:space="preserve">                           </w:t>
            </w:r>
          </w:p>
          <w:p w14:paraId="492823DB">
            <w:pPr>
              <w:spacing w:line="400" w:lineRule="exact"/>
              <w:jc w:val="center"/>
              <w:rPr>
                <w:rFonts w:hint="eastAsia" w:ascii="宋体" w:hAnsi="宋体" w:eastAsia="宋体"/>
                <w:b/>
                <w:sz w:val="40"/>
              </w:rPr>
            </w:pPr>
          </w:p>
          <w:p w14:paraId="23F45FB4">
            <w:pPr>
              <w:spacing w:line="400" w:lineRule="exact"/>
              <w:jc w:val="center"/>
              <w:rPr>
                <w:rFonts w:hint="eastAsia" w:ascii="宋体" w:hAnsi="宋体" w:eastAsia="宋体"/>
                <w:b/>
                <w:sz w:val="40"/>
              </w:rPr>
            </w:pPr>
          </w:p>
          <w:p w14:paraId="71083961">
            <w:pPr>
              <w:spacing w:line="400" w:lineRule="exact"/>
              <w:jc w:val="center"/>
              <w:rPr>
                <w:rFonts w:hint="eastAsia" w:ascii="宋体" w:hAnsi="宋体" w:eastAsia="宋体"/>
                <w:b/>
                <w:sz w:val="40"/>
              </w:rPr>
            </w:pPr>
          </w:p>
          <w:p w14:paraId="638E38E5">
            <w:pPr>
              <w:spacing w:line="400" w:lineRule="exact"/>
              <w:jc w:val="center"/>
              <w:rPr>
                <w:rFonts w:hint="eastAsia" w:ascii="宋体" w:hAnsi="宋体" w:eastAsia="宋体"/>
                <w:b/>
                <w:sz w:val="40"/>
              </w:rPr>
            </w:pPr>
          </w:p>
          <w:p w14:paraId="6229905E">
            <w:pPr>
              <w:spacing w:line="400" w:lineRule="exact"/>
              <w:jc w:val="center"/>
              <w:rPr>
                <w:rFonts w:hint="eastAsia" w:ascii="宋体" w:hAnsi="宋体" w:eastAsia="宋体"/>
                <w:b/>
                <w:sz w:val="40"/>
              </w:rPr>
            </w:pPr>
          </w:p>
          <w:p w14:paraId="6F94448E">
            <w:pPr>
              <w:spacing w:line="400" w:lineRule="exact"/>
              <w:jc w:val="center"/>
              <w:rPr>
                <w:rFonts w:hint="eastAsia" w:ascii="宋体" w:hAnsi="宋体" w:eastAsia="宋体"/>
                <w:b/>
                <w:sz w:val="40"/>
              </w:rPr>
            </w:pPr>
          </w:p>
          <w:p w14:paraId="2616F6B2">
            <w:pPr>
              <w:spacing w:line="400" w:lineRule="exact"/>
              <w:jc w:val="center"/>
              <w:rPr>
                <w:rFonts w:hint="eastAsia" w:ascii="宋体" w:hAnsi="宋体" w:eastAsia="宋体"/>
                <w:b/>
                <w:sz w:val="40"/>
              </w:rPr>
            </w:pPr>
            <w:r>
              <w:rPr>
                <w:rFonts w:ascii="宋体" w:hAnsi="宋体" w:eastAsia="宋体"/>
                <w:b/>
                <w:sz w:val="40"/>
              </w:rPr>
              <mc:AlternateContent>
                <mc:Choice Requires="wps">
                  <w:drawing>
                    <wp:anchor distT="0" distB="0" distL="114300" distR="114300" simplePos="0" relativeHeight="251659264" behindDoc="0" locked="0" layoutInCell="1" allowOverlap="1">
                      <wp:simplePos x="0" y="0"/>
                      <wp:positionH relativeFrom="column">
                        <wp:posOffset>1682115</wp:posOffset>
                      </wp:positionH>
                      <wp:positionV relativeFrom="paragraph">
                        <wp:posOffset>51435</wp:posOffset>
                      </wp:positionV>
                      <wp:extent cx="3800475" cy="843915"/>
                      <wp:effectExtent l="0" t="2540" r="0" b="1270"/>
                      <wp:wrapNone/>
                      <wp:docPr id="3643369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800475" cy="843915"/>
                              </a:xfrm>
                              <a:prstGeom prst="rect">
                                <a:avLst/>
                              </a:prstGeom>
                              <a:noFill/>
                              <a:ln>
                                <a:noFill/>
                              </a:ln>
                            </wps:spPr>
                            <wps:txbx>
                              <w:txbxContent>
                                <w:p w14:paraId="2540EBC9">
                                  <w:pPr>
                                    <w:rPr>
                                      <w:rFonts w:hint="eastAsia" w:eastAsia="宋体"/>
                                      <w:b/>
                                      <w:sz w:val="72"/>
                                    </w:rPr>
                                  </w:pPr>
                                  <w:r>
                                    <w:rPr>
                                      <w:rFonts w:hint="eastAsia" w:eastAsia="宋体"/>
                                      <w:b/>
                                      <w:sz w:val="72"/>
                                    </w:rPr>
                                    <w:t>质量保证协议书</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132.45pt;margin-top:4.05pt;height:66.45pt;width:299.25pt;z-index:251659264;mso-width-relative:page;mso-height-relative:page;" filled="f" stroked="f" coordsize="21600,21600" o:gfxdata="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MAMMdYAAAAJ&#10;AQAADwAAAAAAAAABACAAAAAiAAAAZHJzL2Rvd25yZXYueG1sUEsBAhQAFAAAAAgAh07iQJzfY2Ae&#10;AgAAHAQAAA4AAAAAAAAAAQAgAAAAJQEAAGRycy9lMm9Eb2MueG1sUEsFBgAAAAAGAAYAWQEAALUF&#10;AAAAAA==&#10;">
                      <v:fill on="f" focussize="0,0"/>
                      <v:stroke on="f"/>
                      <v:imagedata o:title=""/>
                      <o:lock v:ext="edit" aspectratio="f"/>
                      <v:textbox>
                        <w:txbxContent>
                          <w:p w14:paraId="2540EBC9">
                            <w:pPr>
                              <w:rPr>
                                <w:rFonts w:hint="eastAsia" w:eastAsia="宋体"/>
                                <w:b/>
                                <w:sz w:val="72"/>
                              </w:rPr>
                            </w:pPr>
                            <w:r>
                              <w:rPr>
                                <w:rFonts w:hint="eastAsia" w:eastAsia="宋体"/>
                                <w:b/>
                                <w:sz w:val="72"/>
                              </w:rPr>
                              <w:t>质量保证协议书</w:t>
                            </w:r>
                          </w:p>
                        </w:txbxContent>
                      </v:textbox>
                    </v:shape>
                  </w:pict>
                </mc:Fallback>
              </mc:AlternateContent>
            </w:r>
          </w:p>
          <w:p w14:paraId="5A02CEEC">
            <w:pPr>
              <w:spacing w:line="400" w:lineRule="exact"/>
              <w:jc w:val="center"/>
              <w:rPr>
                <w:rFonts w:hint="eastAsia" w:ascii="宋体" w:hAnsi="宋体" w:eastAsia="宋体"/>
                <w:b/>
                <w:sz w:val="40"/>
              </w:rPr>
            </w:pPr>
          </w:p>
          <w:p w14:paraId="38C91FC8">
            <w:pPr>
              <w:spacing w:line="400" w:lineRule="exact"/>
              <w:jc w:val="center"/>
              <w:rPr>
                <w:rFonts w:hint="eastAsia" w:ascii="宋体" w:hAnsi="宋体" w:eastAsia="宋体"/>
                <w:b/>
                <w:sz w:val="40"/>
              </w:rPr>
            </w:pPr>
          </w:p>
          <w:p w14:paraId="16D512A7">
            <w:pPr>
              <w:spacing w:line="400" w:lineRule="exact"/>
              <w:jc w:val="center"/>
              <w:rPr>
                <w:rFonts w:hint="eastAsia" w:ascii="宋体" w:hAnsi="宋体" w:eastAsia="宋体"/>
                <w:b/>
                <w:sz w:val="40"/>
              </w:rPr>
            </w:pPr>
            <w:r>
              <w:rPr>
                <w:rFonts w:hint="eastAsia" w:ascii="宋体" w:hAnsi="宋体" w:eastAsia="宋体"/>
                <w:b/>
                <w:sz w:val="40"/>
              </w:rPr>
              <w:t xml:space="preserve"> </w:t>
            </w:r>
          </w:p>
          <w:p w14:paraId="07393FBA">
            <w:pPr>
              <w:spacing w:line="400" w:lineRule="exact"/>
              <w:jc w:val="center"/>
              <w:rPr>
                <w:rFonts w:hint="eastAsia" w:ascii="宋体" w:hAnsi="宋体" w:eastAsia="宋体"/>
                <w:b/>
                <w:sz w:val="40"/>
              </w:rPr>
            </w:pPr>
          </w:p>
          <w:p w14:paraId="3A4E78BF">
            <w:pPr>
              <w:spacing w:line="400" w:lineRule="exact"/>
              <w:jc w:val="center"/>
              <w:rPr>
                <w:rFonts w:hint="eastAsia" w:ascii="宋体" w:hAnsi="宋体" w:eastAsia="宋体"/>
                <w:b/>
                <w:sz w:val="40"/>
              </w:rPr>
            </w:pPr>
          </w:p>
          <w:p w14:paraId="6F7AF75F">
            <w:pPr>
              <w:spacing w:line="400" w:lineRule="exact"/>
              <w:jc w:val="center"/>
              <w:rPr>
                <w:rFonts w:hint="eastAsia" w:ascii="宋体" w:hAnsi="宋体" w:eastAsia="宋体"/>
                <w:b/>
                <w:sz w:val="40"/>
              </w:rPr>
            </w:pPr>
          </w:p>
          <w:p w14:paraId="5B70FC5C">
            <w:pPr>
              <w:spacing w:line="400" w:lineRule="exact"/>
              <w:jc w:val="center"/>
              <w:rPr>
                <w:rFonts w:hint="eastAsia" w:ascii="宋体" w:hAnsi="宋体" w:eastAsia="宋体"/>
                <w:b/>
                <w:sz w:val="40"/>
              </w:rPr>
            </w:pPr>
          </w:p>
          <w:p w14:paraId="188E3136">
            <w:pPr>
              <w:spacing w:line="400" w:lineRule="exact"/>
              <w:jc w:val="center"/>
              <w:rPr>
                <w:rFonts w:hint="eastAsia" w:ascii="宋体" w:hAnsi="宋体" w:eastAsia="宋体"/>
                <w:b/>
                <w:sz w:val="40"/>
              </w:rPr>
            </w:pPr>
          </w:p>
          <w:p w14:paraId="2202ABA7">
            <w:pPr>
              <w:spacing w:line="400" w:lineRule="exact"/>
              <w:rPr>
                <w:rFonts w:hint="eastAsia" w:ascii="宋体" w:hAnsi="宋体" w:eastAsia="宋体"/>
                <w:b/>
                <w:sz w:val="40"/>
              </w:rPr>
            </w:pPr>
          </w:p>
          <w:p w14:paraId="5B7FE0A3">
            <w:pPr>
              <w:spacing w:line="400" w:lineRule="exact"/>
              <w:rPr>
                <w:rFonts w:hint="eastAsia" w:ascii="宋体" w:hAnsi="宋体" w:eastAsia="宋体"/>
                <w:b/>
                <w:sz w:val="40"/>
              </w:rPr>
            </w:pPr>
          </w:p>
          <w:p w14:paraId="53D9A52E">
            <w:pPr>
              <w:spacing w:line="400" w:lineRule="exact"/>
              <w:rPr>
                <w:rFonts w:hint="eastAsia" w:ascii="宋体" w:hAnsi="宋体" w:eastAsia="宋体"/>
                <w:b/>
                <w:sz w:val="40"/>
              </w:rPr>
            </w:pPr>
          </w:p>
          <w:p w14:paraId="5FA2B8FD">
            <w:pPr>
              <w:spacing w:line="400" w:lineRule="exact"/>
              <w:rPr>
                <w:rFonts w:hint="eastAsia" w:ascii="宋体" w:hAnsi="宋体" w:eastAsia="宋体"/>
                <w:b/>
                <w:sz w:val="40"/>
              </w:rPr>
            </w:pPr>
          </w:p>
          <w:p w14:paraId="009FB59B">
            <w:pPr>
              <w:spacing w:line="400" w:lineRule="exact"/>
              <w:rPr>
                <w:rFonts w:hint="eastAsia" w:ascii="宋体" w:hAnsi="宋体" w:eastAsia="宋体"/>
                <w:b/>
                <w:sz w:val="40"/>
              </w:rPr>
            </w:pPr>
          </w:p>
          <w:p w14:paraId="5C1167CE">
            <w:pPr>
              <w:spacing w:line="400" w:lineRule="exact"/>
              <w:rPr>
                <w:rFonts w:hint="eastAsia" w:ascii="宋体" w:hAnsi="宋体" w:eastAsia="宋体"/>
                <w:b/>
                <w:sz w:val="40"/>
              </w:rPr>
            </w:pPr>
          </w:p>
          <w:tbl>
            <w:tblPr>
              <w:tblStyle w:val="4"/>
              <w:tblpPr w:leftFromText="180" w:rightFromText="180" w:vertAnchor="text" w:horzAnchor="margin" w:tblpXSpec="center" w:tblpY="67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600"/>
              <w:gridCol w:w="1800"/>
              <w:gridCol w:w="3420"/>
            </w:tblGrid>
            <w:tr w14:paraId="256EB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 w:hRule="atLeast"/>
                <w:jc w:val="center"/>
              </w:trPr>
              <w:tc>
                <w:tcPr>
                  <w:tcW w:w="1800" w:type="dxa"/>
                  <w:tcBorders>
                    <w:top w:val="single" w:color="auto" w:sz="6" w:space="0"/>
                  </w:tcBorders>
                  <w:vAlign w:val="center"/>
                </w:tcPr>
                <w:p w14:paraId="22C830F0">
                  <w:pPr>
                    <w:spacing w:line="616" w:lineRule="exact"/>
                    <w:ind w:left="56"/>
                    <w:jc w:val="center"/>
                    <w:rPr>
                      <w:rFonts w:hint="eastAsia" w:ascii="宋体" w:hAnsi="宋体" w:eastAsia="宋体"/>
                      <w:b/>
                      <w:color w:val="000000"/>
                      <w:sz w:val="28"/>
                    </w:rPr>
                  </w:pPr>
                  <w:r>
                    <w:rPr>
                      <w:rFonts w:hint="eastAsia" w:ascii="宋体" w:hAnsi="宋体" w:eastAsia="宋体"/>
                      <w:b/>
                      <w:color w:val="000000"/>
                      <w:sz w:val="28"/>
                    </w:rPr>
                    <w:t>甲    方</w:t>
                  </w:r>
                </w:p>
              </w:tc>
              <w:tc>
                <w:tcPr>
                  <w:tcW w:w="3600" w:type="dxa"/>
                  <w:tcBorders>
                    <w:top w:val="single" w:color="auto" w:sz="6" w:space="0"/>
                  </w:tcBorders>
                </w:tcPr>
                <w:p w14:paraId="750A3EA0">
                  <w:pPr>
                    <w:spacing w:line="616" w:lineRule="exact"/>
                    <w:ind w:left="56"/>
                    <w:jc w:val="center"/>
                    <w:rPr>
                      <w:rFonts w:hint="eastAsia" w:ascii="宋体" w:hAnsi="宋体" w:eastAsia="宋体"/>
                      <w:b/>
                      <w:color w:val="000000"/>
                      <w:szCs w:val="24"/>
                    </w:rPr>
                  </w:pPr>
                  <w:r>
                    <w:rPr>
                      <w:rFonts w:hint="eastAsia" w:ascii="宋体" w:hAnsi="宋体" w:eastAsia="宋体"/>
                      <w:b/>
                      <w:color w:val="000000"/>
                      <w:szCs w:val="24"/>
                    </w:rPr>
                    <w:t>福建科达新能源科技有限公司</w:t>
                  </w:r>
                </w:p>
              </w:tc>
              <w:tc>
                <w:tcPr>
                  <w:tcW w:w="1800" w:type="dxa"/>
                  <w:tcBorders>
                    <w:top w:val="single" w:color="auto" w:sz="6" w:space="0"/>
                    <w:right w:val="single" w:color="auto" w:sz="8" w:space="0"/>
                  </w:tcBorders>
                  <w:vAlign w:val="center"/>
                </w:tcPr>
                <w:p w14:paraId="25117F5B">
                  <w:pPr>
                    <w:spacing w:line="616" w:lineRule="exact"/>
                    <w:ind w:left="56"/>
                    <w:jc w:val="center"/>
                    <w:rPr>
                      <w:rFonts w:hint="eastAsia" w:ascii="宋体" w:hAnsi="宋体" w:eastAsia="宋体"/>
                      <w:b/>
                      <w:color w:val="000000"/>
                      <w:sz w:val="28"/>
                    </w:rPr>
                  </w:pPr>
                  <w:r>
                    <w:rPr>
                      <w:rFonts w:hint="eastAsia" w:ascii="宋体" w:hAnsi="宋体" w:eastAsia="宋体"/>
                      <w:b/>
                      <w:color w:val="000000"/>
                      <w:sz w:val="28"/>
                    </w:rPr>
                    <w:t>乙    方</w:t>
                  </w:r>
                </w:p>
              </w:tc>
              <w:tc>
                <w:tcPr>
                  <w:tcW w:w="3420" w:type="dxa"/>
                  <w:tcBorders>
                    <w:top w:val="single" w:color="auto" w:sz="6" w:space="0"/>
                    <w:left w:val="single" w:color="auto" w:sz="8" w:space="0"/>
                    <w:bottom w:val="single" w:color="auto" w:sz="6" w:space="0"/>
                  </w:tcBorders>
                  <w:vAlign w:val="center"/>
                </w:tcPr>
                <w:p w14:paraId="2B4F8A05">
                  <w:pPr>
                    <w:spacing w:line="616" w:lineRule="exact"/>
                    <w:ind w:left="1" w:firstLine="30" w:firstLineChars="14"/>
                    <w:jc w:val="center"/>
                    <w:rPr>
                      <w:rFonts w:hint="eastAsia" w:ascii="宋体" w:hAnsi="宋体" w:eastAsia="宋体"/>
                      <w:b/>
                      <w:color w:val="000000"/>
                      <w:szCs w:val="21"/>
                    </w:rPr>
                  </w:pPr>
                </w:p>
              </w:tc>
            </w:tr>
            <w:tr w14:paraId="0F575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800" w:type="dxa"/>
                  <w:vAlign w:val="center"/>
                </w:tcPr>
                <w:p w14:paraId="22AF1E63">
                  <w:pPr>
                    <w:spacing w:line="616" w:lineRule="exact"/>
                    <w:ind w:left="56"/>
                    <w:jc w:val="center"/>
                    <w:rPr>
                      <w:rFonts w:hint="eastAsia" w:ascii="宋体" w:hAnsi="宋体" w:eastAsia="宋体"/>
                      <w:b/>
                      <w:color w:val="000000"/>
                      <w:sz w:val="28"/>
                    </w:rPr>
                  </w:pPr>
                  <w:r>
                    <w:rPr>
                      <w:rFonts w:hint="eastAsia" w:ascii="宋体" w:hAnsi="宋体" w:eastAsia="宋体"/>
                      <w:b/>
                      <w:color w:val="000000"/>
                      <w:sz w:val="28"/>
                    </w:rPr>
                    <w:t xml:space="preserve">地 </w:t>
                  </w:r>
                  <w:r>
                    <w:rPr>
                      <w:rFonts w:ascii="宋体" w:hAnsi="宋体" w:eastAsia="宋体"/>
                      <w:b/>
                      <w:color w:val="000000"/>
                      <w:sz w:val="28"/>
                    </w:rPr>
                    <w:t xml:space="preserve">   </w:t>
                  </w:r>
                  <w:r>
                    <w:rPr>
                      <w:rFonts w:hint="eastAsia" w:ascii="宋体" w:hAnsi="宋体" w:eastAsia="宋体"/>
                      <w:b/>
                      <w:color w:val="000000"/>
                      <w:sz w:val="28"/>
                    </w:rPr>
                    <w:t>址</w:t>
                  </w:r>
                </w:p>
              </w:tc>
              <w:tc>
                <w:tcPr>
                  <w:tcW w:w="3600" w:type="dxa"/>
                  <w:vAlign w:val="center"/>
                </w:tcPr>
                <w:p w14:paraId="332D8FE3">
                  <w:pPr>
                    <w:spacing w:line="616" w:lineRule="exact"/>
                    <w:ind w:left="56"/>
                    <w:jc w:val="center"/>
                    <w:rPr>
                      <w:rFonts w:hint="eastAsia" w:ascii="宋体" w:hAnsi="宋体" w:eastAsia="宋体"/>
                      <w:b/>
                      <w:color w:val="000000"/>
                      <w:sz w:val="28"/>
                    </w:rPr>
                  </w:pPr>
                  <w:r>
                    <w:rPr>
                      <w:rFonts w:hint="eastAsia" w:ascii="宋体" w:hAnsi="宋体" w:eastAsia="宋体"/>
                      <w:b/>
                      <w:color w:val="000000"/>
                      <w:szCs w:val="18"/>
                    </w:rPr>
                    <w:t>福建三明市大田县罗丰工业园区</w:t>
                  </w:r>
                </w:p>
              </w:tc>
              <w:tc>
                <w:tcPr>
                  <w:tcW w:w="1800" w:type="dxa"/>
                  <w:vAlign w:val="center"/>
                </w:tcPr>
                <w:p w14:paraId="75F5BBB9">
                  <w:pPr>
                    <w:spacing w:line="616" w:lineRule="exact"/>
                    <w:ind w:left="56"/>
                    <w:jc w:val="center"/>
                    <w:rPr>
                      <w:rFonts w:hint="eastAsia" w:ascii="宋体" w:hAnsi="宋体" w:eastAsia="宋体"/>
                      <w:b/>
                      <w:color w:val="000000"/>
                      <w:sz w:val="28"/>
                    </w:rPr>
                  </w:pPr>
                  <w:r>
                    <w:rPr>
                      <w:rFonts w:hint="eastAsia" w:ascii="宋体" w:hAnsi="宋体" w:eastAsia="宋体"/>
                      <w:b/>
                      <w:color w:val="000000"/>
                      <w:sz w:val="28"/>
                    </w:rPr>
                    <w:t xml:space="preserve">地 </w:t>
                  </w:r>
                  <w:r>
                    <w:rPr>
                      <w:rFonts w:ascii="宋体" w:hAnsi="宋体" w:eastAsia="宋体"/>
                      <w:b/>
                      <w:color w:val="000000"/>
                      <w:sz w:val="28"/>
                    </w:rPr>
                    <w:t xml:space="preserve">   </w:t>
                  </w:r>
                  <w:r>
                    <w:rPr>
                      <w:rFonts w:hint="eastAsia" w:ascii="宋体" w:hAnsi="宋体" w:eastAsia="宋体"/>
                      <w:b/>
                      <w:color w:val="000000"/>
                      <w:sz w:val="28"/>
                    </w:rPr>
                    <w:t>址</w:t>
                  </w:r>
                </w:p>
              </w:tc>
              <w:tc>
                <w:tcPr>
                  <w:tcW w:w="3420" w:type="dxa"/>
                  <w:vAlign w:val="center"/>
                </w:tcPr>
                <w:p w14:paraId="6F2F9440">
                  <w:pPr>
                    <w:spacing w:line="616" w:lineRule="exact"/>
                    <w:ind w:left="56"/>
                    <w:jc w:val="center"/>
                    <w:rPr>
                      <w:rFonts w:hint="eastAsia" w:ascii="宋体" w:hAnsi="宋体" w:eastAsia="宋体"/>
                      <w:b/>
                      <w:color w:val="000000"/>
                      <w:sz w:val="28"/>
                    </w:rPr>
                  </w:pPr>
                </w:p>
              </w:tc>
            </w:tr>
            <w:tr w14:paraId="2D7C3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800" w:type="dxa"/>
                  <w:vAlign w:val="center"/>
                </w:tcPr>
                <w:p w14:paraId="24F4C78C">
                  <w:pPr>
                    <w:spacing w:line="616" w:lineRule="exact"/>
                    <w:ind w:left="56"/>
                    <w:jc w:val="center"/>
                    <w:rPr>
                      <w:rFonts w:hint="eastAsia" w:ascii="宋体" w:hAnsi="宋体" w:eastAsia="宋体"/>
                      <w:b/>
                      <w:color w:val="000000"/>
                      <w:sz w:val="28"/>
                    </w:rPr>
                  </w:pPr>
                  <w:r>
                    <w:rPr>
                      <w:rFonts w:hint="eastAsia" w:ascii="宋体" w:hAnsi="宋体" w:eastAsia="宋体"/>
                      <w:b/>
                      <w:color w:val="000000"/>
                      <w:sz w:val="28"/>
                    </w:rPr>
                    <w:t xml:space="preserve">电 </w:t>
                  </w:r>
                  <w:r>
                    <w:rPr>
                      <w:rFonts w:ascii="宋体" w:hAnsi="宋体" w:eastAsia="宋体"/>
                      <w:b/>
                      <w:color w:val="000000"/>
                      <w:sz w:val="28"/>
                    </w:rPr>
                    <w:t xml:space="preserve">   </w:t>
                  </w:r>
                  <w:r>
                    <w:rPr>
                      <w:rFonts w:hint="eastAsia" w:ascii="宋体" w:hAnsi="宋体" w:eastAsia="宋体"/>
                      <w:b/>
                      <w:color w:val="000000"/>
                      <w:sz w:val="28"/>
                    </w:rPr>
                    <w:t>话</w:t>
                  </w:r>
                </w:p>
              </w:tc>
              <w:tc>
                <w:tcPr>
                  <w:tcW w:w="3600" w:type="dxa"/>
                  <w:vAlign w:val="center"/>
                </w:tcPr>
                <w:p w14:paraId="5D97FAC2">
                  <w:pPr>
                    <w:spacing w:line="616" w:lineRule="exact"/>
                    <w:ind w:left="56"/>
                    <w:jc w:val="center"/>
                    <w:rPr>
                      <w:rFonts w:hint="eastAsia" w:ascii="宋体" w:hAnsi="宋体" w:eastAsia="宋体"/>
                      <w:b/>
                      <w:color w:val="000000"/>
                      <w:sz w:val="28"/>
                      <w:szCs w:val="28"/>
                    </w:rPr>
                  </w:pPr>
                </w:p>
              </w:tc>
              <w:tc>
                <w:tcPr>
                  <w:tcW w:w="1800" w:type="dxa"/>
                  <w:vAlign w:val="center"/>
                </w:tcPr>
                <w:p w14:paraId="2A7BC775">
                  <w:pPr>
                    <w:spacing w:line="616" w:lineRule="exact"/>
                    <w:ind w:left="56"/>
                    <w:jc w:val="center"/>
                    <w:rPr>
                      <w:rFonts w:hint="eastAsia" w:ascii="宋体" w:hAnsi="宋体" w:eastAsia="宋体"/>
                      <w:b/>
                      <w:color w:val="000000"/>
                      <w:sz w:val="28"/>
                    </w:rPr>
                  </w:pPr>
                  <w:r>
                    <w:rPr>
                      <w:rFonts w:hint="eastAsia" w:ascii="宋体" w:hAnsi="宋体" w:eastAsia="宋体"/>
                      <w:b/>
                      <w:color w:val="000000"/>
                      <w:sz w:val="28"/>
                    </w:rPr>
                    <w:t xml:space="preserve">电 </w:t>
                  </w:r>
                  <w:r>
                    <w:rPr>
                      <w:rFonts w:ascii="宋体" w:hAnsi="宋体" w:eastAsia="宋体"/>
                      <w:b/>
                      <w:color w:val="000000"/>
                      <w:sz w:val="28"/>
                    </w:rPr>
                    <w:t xml:space="preserve">   </w:t>
                  </w:r>
                  <w:r>
                    <w:rPr>
                      <w:rFonts w:hint="eastAsia" w:ascii="宋体" w:hAnsi="宋体" w:eastAsia="宋体"/>
                      <w:b/>
                      <w:color w:val="000000"/>
                      <w:sz w:val="28"/>
                    </w:rPr>
                    <w:t>话</w:t>
                  </w:r>
                </w:p>
              </w:tc>
              <w:tc>
                <w:tcPr>
                  <w:tcW w:w="3420" w:type="dxa"/>
                  <w:vAlign w:val="center"/>
                </w:tcPr>
                <w:p w14:paraId="699FAB51">
                  <w:pPr>
                    <w:spacing w:line="616" w:lineRule="exact"/>
                    <w:ind w:left="56"/>
                    <w:jc w:val="center"/>
                    <w:rPr>
                      <w:rFonts w:hint="eastAsia" w:ascii="宋体" w:hAnsi="宋体" w:eastAsia="宋体"/>
                      <w:b/>
                      <w:color w:val="000000"/>
                      <w:sz w:val="28"/>
                    </w:rPr>
                  </w:pPr>
                </w:p>
              </w:tc>
            </w:tr>
            <w:tr w14:paraId="6CCA3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800" w:type="dxa"/>
                  <w:vAlign w:val="center"/>
                </w:tcPr>
                <w:p w14:paraId="126873EC">
                  <w:pPr>
                    <w:spacing w:line="616" w:lineRule="exact"/>
                    <w:ind w:left="56"/>
                    <w:jc w:val="center"/>
                    <w:rPr>
                      <w:rFonts w:hint="eastAsia" w:ascii="宋体" w:hAnsi="宋体" w:eastAsia="宋体"/>
                      <w:b/>
                      <w:color w:val="000000"/>
                      <w:sz w:val="28"/>
                    </w:rPr>
                  </w:pPr>
                  <w:r>
                    <w:rPr>
                      <w:rFonts w:hint="eastAsia" w:ascii="宋体" w:hAnsi="宋体" w:eastAsia="宋体"/>
                      <w:b/>
                      <w:color w:val="000000"/>
                      <w:sz w:val="28"/>
                    </w:rPr>
                    <w:t xml:space="preserve">传 </w:t>
                  </w:r>
                  <w:r>
                    <w:rPr>
                      <w:rFonts w:ascii="宋体" w:hAnsi="宋体" w:eastAsia="宋体"/>
                      <w:b/>
                      <w:color w:val="000000"/>
                      <w:sz w:val="28"/>
                    </w:rPr>
                    <w:t xml:space="preserve">   </w:t>
                  </w:r>
                  <w:r>
                    <w:rPr>
                      <w:rFonts w:hint="eastAsia" w:ascii="宋体" w:hAnsi="宋体" w:eastAsia="宋体"/>
                      <w:b/>
                      <w:color w:val="000000"/>
                      <w:sz w:val="28"/>
                    </w:rPr>
                    <w:t>真</w:t>
                  </w:r>
                </w:p>
              </w:tc>
              <w:tc>
                <w:tcPr>
                  <w:tcW w:w="3600" w:type="dxa"/>
                  <w:vAlign w:val="center"/>
                </w:tcPr>
                <w:p w14:paraId="4C33E8D8">
                  <w:pPr>
                    <w:spacing w:line="616" w:lineRule="exact"/>
                    <w:ind w:left="56"/>
                    <w:jc w:val="center"/>
                    <w:rPr>
                      <w:rFonts w:hint="eastAsia" w:ascii="宋体" w:hAnsi="宋体" w:eastAsia="宋体"/>
                      <w:b/>
                      <w:color w:val="000000"/>
                      <w:sz w:val="28"/>
                      <w:szCs w:val="28"/>
                    </w:rPr>
                  </w:pPr>
                </w:p>
              </w:tc>
              <w:tc>
                <w:tcPr>
                  <w:tcW w:w="1800" w:type="dxa"/>
                  <w:vAlign w:val="center"/>
                </w:tcPr>
                <w:p w14:paraId="7E788493">
                  <w:pPr>
                    <w:spacing w:line="616" w:lineRule="exact"/>
                    <w:ind w:left="56"/>
                    <w:jc w:val="center"/>
                    <w:rPr>
                      <w:rFonts w:hint="eastAsia" w:ascii="宋体" w:hAnsi="宋体" w:eastAsia="宋体"/>
                      <w:b/>
                      <w:color w:val="000000"/>
                      <w:sz w:val="28"/>
                    </w:rPr>
                  </w:pPr>
                  <w:r>
                    <w:rPr>
                      <w:rFonts w:hint="eastAsia" w:ascii="宋体" w:hAnsi="宋体" w:eastAsia="宋体"/>
                      <w:b/>
                      <w:color w:val="000000"/>
                      <w:sz w:val="28"/>
                    </w:rPr>
                    <w:t xml:space="preserve">传 </w:t>
                  </w:r>
                  <w:r>
                    <w:rPr>
                      <w:rFonts w:ascii="宋体" w:hAnsi="宋体" w:eastAsia="宋体"/>
                      <w:b/>
                      <w:color w:val="000000"/>
                      <w:sz w:val="28"/>
                    </w:rPr>
                    <w:t xml:space="preserve">   </w:t>
                  </w:r>
                  <w:r>
                    <w:rPr>
                      <w:rFonts w:hint="eastAsia" w:ascii="宋体" w:hAnsi="宋体" w:eastAsia="宋体"/>
                      <w:b/>
                      <w:color w:val="000000"/>
                      <w:sz w:val="28"/>
                    </w:rPr>
                    <w:t>真</w:t>
                  </w:r>
                </w:p>
              </w:tc>
              <w:tc>
                <w:tcPr>
                  <w:tcW w:w="3420" w:type="dxa"/>
                  <w:vAlign w:val="center"/>
                </w:tcPr>
                <w:p w14:paraId="708300FF">
                  <w:pPr>
                    <w:spacing w:line="616" w:lineRule="exact"/>
                    <w:ind w:left="56"/>
                    <w:jc w:val="center"/>
                    <w:rPr>
                      <w:rFonts w:hint="eastAsia" w:ascii="宋体" w:hAnsi="宋体" w:eastAsia="宋体"/>
                      <w:b/>
                      <w:color w:val="000000"/>
                      <w:sz w:val="28"/>
                    </w:rPr>
                  </w:pPr>
                </w:p>
              </w:tc>
            </w:tr>
            <w:tr w14:paraId="40BBF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1800" w:type="dxa"/>
                  <w:vAlign w:val="center"/>
                </w:tcPr>
                <w:p w14:paraId="23E330A6">
                  <w:pPr>
                    <w:spacing w:line="616" w:lineRule="exact"/>
                    <w:ind w:left="56"/>
                    <w:jc w:val="center"/>
                    <w:rPr>
                      <w:rFonts w:hint="eastAsia" w:ascii="宋体" w:hAnsi="宋体" w:eastAsia="宋体"/>
                      <w:b/>
                      <w:color w:val="000000"/>
                      <w:sz w:val="28"/>
                    </w:rPr>
                  </w:pPr>
                  <w:r>
                    <w:rPr>
                      <w:rFonts w:hint="eastAsia" w:ascii="宋体" w:hAnsi="宋体" w:eastAsia="宋体"/>
                      <w:b/>
                      <w:color w:val="000000"/>
                      <w:sz w:val="28"/>
                    </w:rPr>
                    <w:t xml:space="preserve">日 </w:t>
                  </w:r>
                  <w:r>
                    <w:rPr>
                      <w:rFonts w:ascii="宋体" w:hAnsi="宋体" w:eastAsia="宋体"/>
                      <w:b/>
                      <w:color w:val="000000"/>
                      <w:sz w:val="28"/>
                    </w:rPr>
                    <w:t xml:space="preserve">  </w:t>
                  </w:r>
                  <w:r>
                    <w:rPr>
                      <w:rFonts w:hint="eastAsia" w:ascii="宋体" w:hAnsi="宋体" w:eastAsia="宋体"/>
                      <w:b/>
                      <w:color w:val="000000"/>
                      <w:sz w:val="28"/>
                    </w:rPr>
                    <w:t xml:space="preserve"> 期</w:t>
                  </w:r>
                </w:p>
              </w:tc>
              <w:tc>
                <w:tcPr>
                  <w:tcW w:w="3600" w:type="dxa"/>
                  <w:vAlign w:val="center"/>
                </w:tcPr>
                <w:p w14:paraId="5DCE1610">
                  <w:pPr>
                    <w:spacing w:line="616" w:lineRule="exact"/>
                    <w:ind w:left="56"/>
                    <w:jc w:val="center"/>
                    <w:rPr>
                      <w:rFonts w:hint="eastAsia" w:ascii="宋体" w:hAnsi="宋体" w:eastAsia="宋体"/>
                      <w:b/>
                      <w:color w:val="000000"/>
                      <w:sz w:val="28"/>
                    </w:rPr>
                  </w:pPr>
                  <w:r>
                    <w:rPr>
                      <w:rFonts w:hint="eastAsia" w:ascii="宋体" w:hAnsi="宋体" w:eastAsia="宋体"/>
                      <w:b/>
                      <w:color w:val="000000"/>
                      <w:sz w:val="28"/>
                    </w:rPr>
                    <w:t>2</w:t>
                  </w:r>
                  <w:r>
                    <w:rPr>
                      <w:rFonts w:ascii="宋体" w:hAnsi="宋体" w:eastAsia="宋体"/>
                      <w:b/>
                      <w:color w:val="000000"/>
                      <w:sz w:val="28"/>
                    </w:rPr>
                    <w:t>02</w:t>
                  </w:r>
                  <w:r>
                    <w:rPr>
                      <w:rFonts w:hint="eastAsia" w:ascii="宋体" w:hAnsi="宋体" w:eastAsia="宋体"/>
                      <w:b/>
                      <w:color w:val="000000"/>
                      <w:sz w:val="28"/>
                    </w:rPr>
                    <w:t>5年3月</w:t>
                  </w:r>
                </w:p>
              </w:tc>
              <w:tc>
                <w:tcPr>
                  <w:tcW w:w="1800" w:type="dxa"/>
                  <w:vAlign w:val="center"/>
                </w:tcPr>
                <w:p w14:paraId="463141C6">
                  <w:pPr>
                    <w:spacing w:line="616" w:lineRule="exact"/>
                    <w:ind w:left="56"/>
                    <w:jc w:val="center"/>
                    <w:rPr>
                      <w:rFonts w:hint="eastAsia" w:ascii="宋体" w:hAnsi="宋体" w:eastAsia="宋体"/>
                      <w:b/>
                      <w:color w:val="000000"/>
                      <w:sz w:val="28"/>
                    </w:rPr>
                  </w:pPr>
                  <w:r>
                    <w:rPr>
                      <w:rFonts w:hint="eastAsia" w:ascii="宋体" w:hAnsi="宋体" w:eastAsia="宋体"/>
                      <w:b/>
                      <w:color w:val="000000"/>
                      <w:sz w:val="28"/>
                    </w:rPr>
                    <w:t xml:space="preserve">日 </w:t>
                  </w:r>
                  <w:r>
                    <w:rPr>
                      <w:rFonts w:ascii="宋体" w:hAnsi="宋体" w:eastAsia="宋体"/>
                      <w:b/>
                      <w:color w:val="000000"/>
                      <w:sz w:val="28"/>
                    </w:rPr>
                    <w:t xml:space="preserve"> </w:t>
                  </w:r>
                  <w:r>
                    <w:rPr>
                      <w:rFonts w:hint="eastAsia" w:ascii="宋体" w:hAnsi="宋体" w:eastAsia="宋体"/>
                      <w:b/>
                      <w:color w:val="000000"/>
                      <w:sz w:val="28"/>
                    </w:rPr>
                    <w:t xml:space="preserve">  期</w:t>
                  </w:r>
                </w:p>
              </w:tc>
              <w:tc>
                <w:tcPr>
                  <w:tcW w:w="3420" w:type="dxa"/>
                  <w:vAlign w:val="center"/>
                </w:tcPr>
                <w:p w14:paraId="6AB51A39">
                  <w:pPr>
                    <w:spacing w:line="616" w:lineRule="exact"/>
                    <w:ind w:left="56"/>
                    <w:jc w:val="center"/>
                    <w:rPr>
                      <w:rFonts w:hint="eastAsia" w:ascii="宋体" w:hAnsi="宋体" w:eastAsia="宋体"/>
                      <w:b/>
                      <w:color w:val="000000"/>
                      <w:sz w:val="28"/>
                    </w:rPr>
                  </w:pPr>
                </w:p>
              </w:tc>
            </w:tr>
          </w:tbl>
          <w:p w14:paraId="07582305">
            <w:pPr>
              <w:spacing w:line="400" w:lineRule="exact"/>
              <w:rPr>
                <w:rFonts w:hint="eastAsia" w:ascii="宋体" w:hAnsi="宋体" w:eastAsia="宋体"/>
                <w:b/>
                <w:sz w:val="40"/>
              </w:rPr>
            </w:pPr>
          </w:p>
          <w:p w14:paraId="5B441A55">
            <w:pPr>
              <w:rPr>
                <w:rFonts w:hint="eastAsia"/>
              </w:rPr>
            </w:pPr>
          </w:p>
        </w:tc>
      </w:tr>
    </w:tbl>
    <w:p w14:paraId="0302E366">
      <w:pPr>
        <w:widowControl/>
        <w:jc w:val="center"/>
        <w:rPr>
          <w:rFonts w:hint="eastAsia" w:ascii="楷体" w:hAnsi="楷体" w:eastAsia="楷体" w:cs="宋体"/>
          <w:b/>
          <w:bCs/>
          <w:color w:val="000000"/>
          <w:kern w:val="0"/>
          <w:sz w:val="40"/>
          <w:szCs w:val="40"/>
        </w:rPr>
      </w:pPr>
    </w:p>
    <w:p w14:paraId="6A51FB6C">
      <w:pPr>
        <w:widowControl/>
        <w:jc w:val="center"/>
        <w:rPr>
          <w:rFonts w:hint="eastAsia" w:ascii="楷体" w:hAnsi="楷体" w:eastAsia="楷体" w:cs="宋体"/>
          <w:b/>
          <w:bCs/>
          <w:color w:val="000000"/>
          <w:kern w:val="0"/>
          <w:sz w:val="40"/>
          <w:szCs w:val="40"/>
        </w:rPr>
      </w:pPr>
      <w:r>
        <w:rPr>
          <w:rFonts w:ascii="楷体" w:hAnsi="楷体" w:eastAsia="楷体" w:cs="宋体"/>
          <w:b/>
          <w:bCs/>
          <w:color w:val="000000"/>
          <w:kern w:val="0"/>
          <w:sz w:val="40"/>
          <w:szCs w:val="40"/>
        </w:rPr>
        <w:t>供应商质量保证协议</w:t>
      </w:r>
    </w:p>
    <w:p w14:paraId="0B74B3E5">
      <w:pPr>
        <w:widowControl/>
        <w:spacing w:line="480" w:lineRule="auto"/>
        <w:jc w:val="left"/>
        <w:rPr>
          <w:rFonts w:hint="eastAsia" w:ascii="楷体" w:hAnsi="楷体" w:eastAsia="楷体" w:cs="宋体"/>
          <w:color w:val="000000"/>
          <w:kern w:val="0"/>
          <w:sz w:val="24"/>
          <w:szCs w:val="24"/>
          <w:u w:val="single"/>
        </w:rPr>
      </w:pPr>
      <w:r>
        <w:rPr>
          <w:rFonts w:ascii="楷体" w:hAnsi="楷体" w:eastAsia="楷体" w:cs="宋体"/>
          <w:color w:val="000000"/>
          <w:kern w:val="0"/>
          <w:sz w:val="24"/>
          <w:szCs w:val="24"/>
        </w:rPr>
        <w:t>甲方：</w:t>
      </w:r>
      <w:r>
        <w:rPr>
          <w:rFonts w:ascii="楷体" w:hAnsi="楷体" w:eastAsia="楷体" w:cs="宋体"/>
          <w:color w:val="000000"/>
          <w:kern w:val="0"/>
          <w:sz w:val="24"/>
          <w:szCs w:val="24"/>
          <w:u w:val="single"/>
        </w:rPr>
        <w:t xml:space="preserve"> </w:t>
      </w:r>
      <w:r>
        <w:rPr>
          <w:rFonts w:hint="eastAsia" w:ascii="楷体" w:hAnsi="楷体" w:eastAsia="楷体" w:cs="宋体"/>
          <w:b/>
          <w:bCs/>
          <w:color w:val="000000"/>
          <w:kern w:val="0"/>
          <w:sz w:val="24"/>
          <w:szCs w:val="24"/>
          <w:u w:val="single"/>
        </w:rPr>
        <w:t>福建科达新能源科技有限公司</w:t>
      </w:r>
      <w:r>
        <w:rPr>
          <w:rFonts w:hint="eastAsia" w:ascii="楷体" w:hAnsi="楷体" w:eastAsia="楷体" w:cs="宋体"/>
          <w:color w:val="000000"/>
          <w:kern w:val="0"/>
          <w:sz w:val="24"/>
          <w:szCs w:val="24"/>
          <w:u w:val="single"/>
        </w:rPr>
        <w:t xml:space="preserve"> </w:t>
      </w:r>
      <w:r>
        <w:rPr>
          <w:rFonts w:ascii="楷体" w:hAnsi="楷体" w:eastAsia="楷体" w:cs="宋体"/>
          <w:color w:val="000000"/>
          <w:kern w:val="0"/>
          <w:sz w:val="24"/>
          <w:szCs w:val="24"/>
          <w:u w:val="single"/>
        </w:rPr>
        <w:t xml:space="preserve">  </w:t>
      </w:r>
      <w:r>
        <w:rPr>
          <w:rFonts w:ascii="楷体" w:hAnsi="楷体" w:eastAsia="楷体" w:cs="宋体"/>
          <w:color w:val="000000"/>
          <w:kern w:val="0"/>
          <w:sz w:val="24"/>
          <w:szCs w:val="24"/>
        </w:rPr>
        <w:t>(</w:t>
      </w:r>
      <w:r>
        <w:rPr>
          <w:rFonts w:hint="eastAsia" w:ascii="楷体" w:hAnsi="楷体" w:eastAsia="楷体" w:cs="宋体"/>
          <w:color w:val="000000"/>
          <w:kern w:val="0"/>
          <w:sz w:val="24"/>
          <w:szCs w:val="24"/>
        </w:rPr>
        <w:t>以下简称“甲方”)</w:t>
      </w:r>
    </w:p>
    <w:p w14:paraId="3D257683">
      <w:pPr>
        <w:widowControl/>
        <w:spacing w:line="480" w:lineRule="auto"/>
        <w:jc w:val="left"/>
        <w:rPr>
          <w:rFonts w:hint="eastAsia" w:ascii="楷体" w:hAnsi="楷体" w:eastAsia="楷体" w:cs="宋体"/>
          <w:color w:val="000000"/>
          <w:kern w:val="0"/>
          <w:sz w:val="24"/>
          <w:szCs w:val="24"/>
        </w:rPr>
      </w:pPr>
      <w:r>
        <w:rPr>
          <w:rFonts w:ascii="楷体" w:hAnsi="楷体" w:eastAsia="楷体" w:cs="宋体"/>
          <w:color w:val="000000"/>
          <w:kern w:val="0"/>
          <w:sz w:val="24"/>
          <w:szCs w:val="24"/>
        </w:rPr>
        <w:t>乙方：</w:t>
      </w:r>
      <w:r>
        <w:rPr>
          <w:rFonts w:hint="eastAsia" w:ascii="楷体" w:hAnsi="楷体" w:eastAsia="楷体" w:cs="宋体"/>
          <w:color w:val="000000"/>
          <w:kern w:val="0"/>
          <w:sz w:val="24"/>
          <w:szCs w:val="24"/>
          <w:u w:val="single"/>
        </w:rPr>
        <w:t xml:space="preserve"> </w:t>
      </w:r>
      <w:r>
        <w:rPr>
          <w:rFonts w:ascii="楷体" w:hAnsi="楷体" w:eastAsia="楷体" w:cs="宋体"/>
          <w:color w:val="000000"/>
          <w:kern w:val="0"/>
          <w:sz w:val="24"/>
          <w:szCs w:val="24"/>
          <w:u w:val="single"/>
        </w:rPr>
        <w:t xml:space="preserve">                         </w:t>
      </w:r>
      <w:r>
        <w:rPr>
          <w:rFonts w:ascii="楷体" w:hAnsi="楷体" w:eastAsia="楷体" w:cs="宋体"/>
          <w:color w:val="000000"/>
          <w:kern w:val="0"/>
          <w:sz w:val="24"/>
          <w:szCs w:val="24"/>
        </w:rPr>
        <w:t>(</w:t>
      </w:r>
      <w:r>
        <w:rPr>
          <w:rFonts w:hint="eastAsia" w:ascii="楷体" w:hAnsi="楷体" w:eastAsia="楷体" w:cs="宋体"/>
          <w:color w:val="000000"/>
          <w:kern w:val="0"/>
          <w:sz w:val="24"/>
          <w:szCs w:val="24"/>
        </w:rPr>
        <w:t>以下简称“乙方”)</w:t>
      </w:r>
    </w:p>
    <w:p w14:paraId="6E531128">
      <w:pPr>
        <w:pStyle w:val="8"/>
        <w:widowControl/>
        <w:numPr>
          <w:ilvl w:val="0"/>
          <w:numId w:val="1"/>
        </w:numPr>
        <w:spacing w:line="360" w:lineRule="auto"/>
        <w:ind w:firstLineChars="0"/>
        <w:jc w:val="left"/>
        <w:rPr>
          <w:rFonts w:hint="eastAsia" w:ascii="楷体" w:hAnsi="楷体" w:eastAsia="楷体" w:cs="宋体"/>
          <w:color w:val="000000"/>
          <w:kern w:val="0"/>
          <w:sz w:val="24"/>
          <w:szCs w:val="24"/>
        </w:rPr>
      </w:pPr>
      <w:r>
        <w:rPr>
          <w:rFonts w:ascii="楷体" w:hAnsi="楷体" w:eastAsia="楷体" w:cs="宋体"/>
          <w:color w:val="000000"/>
          <w:kern w:val="0"/>
          <w:sz w:val="24"/>
          <w:szCs w:val="24"/>
        </w:rPr>
        <w:t>目的</w:t>
      </w:r>
    </w:p>
    <w:p w14:paraId="3D618ADD">
      <w:pPr>
        <w:widowControl/>
        <w:spacing w:line="360" w:lineRule="auto"/>
        <w:ind w:firstLine="480" w:firstLineChars="200"/>
        <w:jc w:val="left"/>
        <w:rPr>
          <w:rFonts w:hint="eastAsia" w:ascii="楷体" w:hAnsi="楷体" w:eastAsia="楷体" w:cs="宋体"/>
          <w:color w:val="000000"/>
          <w:kern w:val="0"/>
          <w:sz w:val="24"/>
          <w:szCs w:val="24"/>
        </w:rPr>
      </w:pPr>
      <w:r>
        <w:rPr>
          <w:rFonts w:ascii="楷体" w:hAnsi="楷体" w:eastAsia="楷体" w:cs="宋体"/>
          <w:color w:val="000000"/>
          <w:kern w:val="0"/>
          <w:sz w:val="24"/>
          <w:szCs w:val="24"/>
        </w:rPr>
        <w:t>为保障乙方向甲方提供的产品和服务满足甲方的质量要求，甲乙双方本着诚信合作、 平等互利、 共同发展的原则，经友好协商， 在产品质量要求方面达成如下约定，以保障甲乙双方的合法权益。</w:t>
      </w:r>
    </w:p>
    <w:p w14:paraId="5CD61424">
      <w:pPr>
        <w:pStyle w:val="8"/>
        <w:widowControl/>
        <w:numPr>
          <w:ilvl w:val="0"/>
          <w:numId w:val="1"/>
        </w:numPr>
        <w:spacing w:line="360" w:lineRule="auto"/>
        <w:ind w:firstLineChars="0"/>
        <w:jc w:val="left"/>
        <w:rPr>
          <w:rFonts w:hint="eastAsia" w:ascii="楷体" w:hAnsi="楷体" w:eastAsia="楷体" w:cs="宋体"/>
          <w:color w:val="000000"/>
          <w:kern w:val="0"/>
          <w:sz w:val="24"/>
          <w:szCs w:val="24"/>
        </w:rPr>
      </w:pPr>
      <w:r>
        <w:rPr>
          <w:rFonts w:ascii="楷体" w:hAnsi="楷体" w:eastAsia="楷体" w:cs="宋体"/>
          <w:color w:val="000000"/>
          <w:kern w:val="0"/>
          <w:sz w:val="24"/>
          <w:szCs w:val="24"/>
        </w:rPr>
        <w:t>范围</w:t>
      </w:r>
    </w:p>
    <w:p w14:paraId="64C55812">
      <w:pPr>
        <w:widowControl/>
        <w:spacing w:line="360" w:lineRule="auto"/>
        <w:ind w:firstLine="240" w:firstLineChars="100"/>
        <w:jc w:val="left"/>
        <w:rPr>
          <w:rFonts w:hint="eastAsia" w:ascii="宋体" w:hAnsi="宋体" w:eastAsia="宋体" w:cs="宋体"/>
          <w:kern w:val="0"/>
          <w:sz w:val="24"/>
          <w:szCs w:val="24"/>
        </w:rPr>
      </w:pPr>
      <w:r>
        <w:rPr>
          <w:rFonts w:ascii="楷体" w:hAnsi="楷体" w:eastAsia="楷体" w:cs="宋体"/>
          <w:color w:val="000000"/>
          <w:kern w:val="0"/>
          <w:sz w:val="24"/>
          <w:szCs w:val="24"/>
        </w:rPr>
        <w:t xml:space="preserve">  本协议适用于所有甲方从乙方采购的产品</w:t>
      </w:r>
      <w:r>
        <w:rPr>
          <w:rFonts w:hint="eastAsia" w:ascii="楷体" w:hAnsi="楷体" w:eastAsia="楷体" w:cs="宋体"/>
          <w:color w:val="000000"/>
          <w:kern w:val="0"/>
          <w:sz w:val="24"/>
          <w:szCs w:val="24"/>
        </w:rPr>
        <w:t>或服务</w:t>
      </w:r>
      <w:r>
        <w:rPr>
          <w:rFonts w:ascii="楷体" w:hAnsi="楷体" w:eastAsia="楷体" w:cs="宋体"/>
          <w:color w:val="000000"/>
          <w:kern w:val="0"/>
          <w:sz w:val="24"/>
          <w:szCs w:val="24"/>
        </w:rPr>
        <w:t>。</w:t>
      </w:r>
      <w:r>
        <w:rPr>
          <w:rFonts w:hint="eastAsia" w:ascii="楷体" w:hAnsi="楷体" w:eastAsia="楷体" w:cs="宋体"/>
          <w:color w:val="000000"/>
          <w:kern w:val="0"/>
          <w:sz w:val="24"/>
          <w:szCs w:val="24"/>
        </w:rPr>
        <w:t>乙方向甲方提供_</w:t>
      </w:r>
      <w:r>
        <w:rPr>
          <w:rFonts w:ascii="楷体" w:hAnsi="楷体" w:eastAsia="楷体" w:cs="宋体"/>
          <w:color w:val="000000"/>
          <w:kern w:val="0"/>
          <w:sz w:val="24"/>
          <w:szCs w:val="24"/>
        </w:rPr>
        <w:t>_</w:t>
      </w:r>
      <w:r>
        <w:rPr>
          <w:rFonts w:hint="eastAsia" w:ascii="楷体" w:hAnsi="楷体" w:eastAsia="楷体" w:cs="宋体"/>
          <w:b/>
          <w:bCs/>
          <w:color w:val="000000"/>
          <w:kern w:val="0"/>
          <w:sz w:val="24"/>
          <w:szCs w:val="24"/>
          <w:u w:val="single"/>
        </w:rPr>
        <w:t>包装、仓储、运输服务</w:t>
      </w:r>
      <w:r>
        <w:rPr>
          <w:rFonts w:ascii="楷体" w:hAnsi="楷体" w:eastAsia="楷体" w:cs="宋体"/>
          <w:color w:val="000000"/>
          <w:kern w:val="0"/>
          <w:sz w:val="24"/>
          <w:szCs w:val="24"/>
        </w:rPr>
        <w:t>___</w:t>
      </w:r>
      <w:r>
        <w:rPr>
          <w:rFonts w:hint="eastAsia" w:ascii="楷体" w:hAnsi="楷体" w:eastAsia="楷体" w:cs="宋体"/>
          <w:color w:val="000000"/>
          <w:kern w:val="0"/>
          <w:sz w:val="24"/>
          <w:szCs w:val="24"/>
        </w:rPr>
        <w:t>，适用于甲方制定的关于此类产品的管理文件</w:t>
      </w:r>
    </w:p>
    <w:p w14:paraId="5C06DAAC">
      <w:pPr>
        <w:widowControl/>
        <w:spacing w:line="360" w:lineRule="auto"/>
        <w:rPr>
          <w:rFonts w:hint="eastAsia" w:ascii="楷体" w:hAnsi="楷体" w:eastAsia="楷体" w:cs="宋体"/>
          <w:b/>
          <w:bCs/>
          <w:color w:val="000000"/>
          <w:kern w:val="0"/>
          <w:sz w:val="24"/>
          <w:szCs w:val="24"/>
        </w:rPr>
      </w:pPr>
      <w:r>
        <w:rPr>
          <w:rFonts w:ascii="楷体" w:hAnsi="楷体" w:eastAsia="楷体" w:cs="宋体"/>
          <w:b/>
          <w:bCs/>
          <w:color w:val="000000"/>
          <w:kern w:val="0"/>
          <w:sz w:val="24"/>
          <w:szCs w:val="24"/>
        </w:rPr>
        <w:t>3、协议条款</w:t>
      </w:r>
    </w:p>
    <w:p w14:paraId="07B834B8">
      <w:pPr>
        <w:widowControl/>
        <w:spacing w:line="360" w:lineRule="auto"/>
        <w:rPr>
          <w:rFonts w:hint="eastAsia" w:ascii="楷体" w:hAnsi="楷体" w:eastAsia="楷体" w:cs="宋体"/>
          <w:b/>
          <w:bCs/>
          <w:color w:val="000000"/>
          <w:kern w:val="0"/>
          <w:sz w:val="24"/>
          <w:szCs w:val="24"/>
        </w:rPr>
      </w:pPr>
      <w:r>
        <w:rPr>
          <w:rFonts w:ascii="楷体" w:hAnsi="楷体" w:eastAsia="楷体" w:cs="宋体"/>
          <w:b/>
          <w:bCs/>
          <w:color w:val="000000"/>
          <w:kern w:val="0"/>
          <w:sz w:val="24"/>
          <w:szCs w:val="24"/>
        </w:rPr>
        <w:t xml:space="preserve">3.1 </w:t>
      </w:r>
      <w:r>
        <w:rPr>
          <w:rFonts w:hint="eastAsia" w:ascii="楷体" w:hAnsi="楷体" w:eastAsia="楷体" w:cs="宋体"/>
          <w:b/>
          <w:bCs/>
          <w:color w:val="000000"/>
          <w:kern w:val="0"/>
          <w:sz w:val="24"/>
          <w:szCs w:val="24"/>
        </w:rPr>
        <w:t>质量</w:t>
      </w:r>
      <w:r>
        <w:rPr>
          <w:rFonts w:ascii="楷体" w:hAnsi="楷体" w:eastAsia="楷体" w:cs="宋体"/>
          <w:b/>
          <w:bCs/>
          <w:color w:val="000000"/>
          <w:kern w:val="0"/>
          <w:sz w:val="24"/>
          <w:szCs w:val="24"/>
        </w:rPr>
        <w:t>要求</w:t>
      </w:r>
    </w:p>
    <w:p w14:paraId="3AC83ABC">
      <w:pPr>
        <w:widowControl/>
        <w:spacing w:line="360" w:lineRule="auto"/>
        <w:rPr>
          <w:rFonts w:hint="eastAsia" w:ascii="楷体" w:hAnsi="楷体" w:eastAsia="楷体"/>
          <w:color w:val="000000"/>
          <w:sz w:val="24"/>
          <w:szCs w:val="24"/>
        </w:rPr>
      </w:pPr>
      <w:r>
        <w:rPr>
          <w:rFonts w:ascii="楷体" w:hAnsi="楷体" w:eastAsia="楷体" w:cs="宋体"/>
          <w:color w:val="000000"/>
          <w:kern w:val="0"/>
          <w:sz w:val="24"/>
          <w:szCs w:val="24"/>
        </w:rPr>
        <w:t>3.1.1 甲方拟</w:t>
      </w:r>
      <w:r>
        <w:rPr>
          <w:rFonts w:ascii="楷体" w:hAnsi="楷体" w:eastAsia="楷体"/>
          <w:color w:val="000000"/>
          <w:sz w:val="24"/>
          <w:szCs w:val="24"/>
        </w:rPr>
        <w:t>制《外协仓库成品出货作业指导书》，书面确定</w:t>
      </w:r>
      <w:r>
        <w:rPr>
          <w:rFonts w:hint="eastAsia" w:ascii="楷体" w:hAnsi="楷体" w:eastAsia="楷体"/>
          <w:color w:val="000000"/>
          <w:sz w:val="24"/>
          <w:szCs w:val="24"/>
        </w:rPr>
        <w:t>乙方在向甲方提供产品运输、包装、仓储服务需要执行的内容及标准。</w:t>
      </w:r>
      <w:r>
        <w:rPr>
          <w:rFonts w:ascii="楷体" w:hAnsi="楷体" w:eastAsia="楷体"/>
          <w:color w:val="000000"/>
          <w:sz w:val="24"/>
          <w:szCs w:val="24"/>
        </w:rPr>
        <w:t>经双方确认后，作为</w:t>
      </w:r>
      <w:r>
        <w:rPr>
          <w:rFonts w:hint="eastAsia" w:ascii="楷体" w:hAnsi="楷体" w:eastAsia="楷体"/>
          <w:color w:val="000000"/>
          <w:sz w:val="24"/>
          <w:szCs w:val="24"/>
        </w:rPr>
        <w:t>所供服务</w:t>
      </w:r>
      <w:r>
        <w:rPr>
          <w:rFonts w:ascii="楷体" w:hAnsi="楷体" w:eastAsia="楷体"/>
          <w:color w:val="000000"/>
          <w:sz w:val="24"/>
          <w:szCs w:val="24"/>
        </w:rPr>
        <w:t>质量特性检验和判定的主要依据。</w:t>
      </w:r>
    </w:p>
    <w:p w14:paraId="05849683">
      <w:pPr>
        <w:spacing w:line="360" w:lineRule="auto"/>
        <w:rPr>
          <w:rFonts w:hint="eastAsia" w:ascii="楷体" w:hAnsi="楷体" w:eastAsia="楷体"/>
          <w:color w:val="000000"/>
          <w:sz w:val="24"/>
          <w:szCs w:val="24"/>
        </w:rPr>
      </w:pPr>
      <w:r>
        <w:rPr>
          <w:rFonts w:ascii="楷体" w:hAnsi="楷体" w:eastAsia="楷体"/>
          <w:color w:val="000000"/>
          <w:sz w:val="24"/>
          <w:szCs w:val="24"/>
        </w:rPr>
        <w:t>3.1.2 乙方提供的</w:t>
      </w:r>
      <w:r>
        <w:rPr>
          <w:rFonts w:hint="eastAsia" w:ascii="楷体" w:hAnsi="楷体" w:eastAsia="楷体"/>
          <w:color w:val="000000"/>
          <w:sz w:val="24"/>
          <w:szCs w:val="24"/>
        </w:rPr>
        <w:t>服务</w:t>
      </w:r>
      <w:r>
        <w:rPr>
          <w:rFonts w:ascii="楷体" w:hAnsi="楷体" w:eastAsia="楷体"/>
          <w:color w:val="000000"/>
          <w:sz w:val="24"/>
          <w:szCs w:val="24"/>
        </w:rPr>
        <w:t>应符合《外协仓库成品出货作业指导书》中的产品包装</w:t>
      </w:r>
      <w:r>
        <w:rPr>
          <w:rFonts w:hint="eastAsia" w:ascii="楷体" w:hAnsi="楷体" w:eastAsia="楷体"/>
          <w:color w:val="000000"/>
          <w:sz w:val="24"/>
          <w:szCs w:val="24"/>
        </w:rPr>
        <w:t>、</w:t>
      </w:r>
      <w:r>
        <w:rPr>
          <w:rFonts w:ascii="楷体" w:hAnsi="楷体" w:eastAsia="楷体"/>
          <w:color w:val="000000"/>
          <w:sz w:val="24"/>
          <w:szCs w:val="24"/>
        </w:rPr>
        <w:t>防护</w:t>
      </w:r>
      <w:r>
        <w:rPr>
          <w:rFonts w:hint="eastAsia" w:ascii="楷体" w:hAnsi="楷体" w:eastAsia="楷体"/>
          <w:color w:val="000000"/>
          <w:sz w:val="24"/>
          <w:szCs w:val="24"/>
        </w:rPr>
        <w:t>、运输</w:t>
      </w:r>
      <w:r>
        <w:rPr>
          <w:rFonts w:ascii="楷体" w:hAnsi="楷体" w:eastAsia="楷体"/>
          <w:color w:val="000000"/>
          <w:sz w:val="24"/>
          <w:szCs w:val="24"/>
        </w:rPr>
        <w:t>及标识要求</w:t>
      </w:r>
      <w:r>
        <w:rPr>
          <w:rFonts w:hint="eastAsia" w:ascii="楷体" w:hAnsi="楷体" w:eastAsia="楷体"/>
          <w:color w:val="000000"/>
          <w:sz w:val="24"/>
          <w:szCs w:val="24"/>
        </w:rPr>
        <w:t>；</w:t>
      </w:r>
      <w:r>
        <w:rPr>
          <w:rFonts w:ascii="楷体" w:hAnsi="楷体" w:eastAsia="楷体"/>
          <w:color w:val="000000"/>
          <w:sz w:val="24"/>
          <w:szCs w:val="24"/>
        </w:rPr>
        <w:t>若</w:t>
      </w:r>
      <w:r>
        <w:rPr>
          <w:rFonts w:hint="eastAsia" w:ascii="楷体" w:hAnsi="楷体" w:eastAsia="楷体"/>
          <w:color w:val="000000"/>
          <w:sz w:val="24"/>
          <w:szCs w:val="24"/>
        </w:rPr>
        <w:t>因乙方服务内容不符合要求导致</w:t>
      </w:r>
      <w:r>
        <w:rPr>
          <w:rFonts w:ascii="楷体" w:hAnsi="楷体" w:eastAsia="楷体"/>
          <w:color w:val="000000"/>
          <w:sz w:val="24"/>
          <w:szCs w:val="24"/>
        </w:rPr>
        <w:t>出现产品</w:t>
      </w:r>
      <w:r>
        <w:rPr>
          <w:rFonts w:hint="eastAsia" w:ascii="楷体" w:hAnsi="楷体" w:eastAsia="楷体"/>
          <w:color w:val="000000"/>
          <w:sz w:val="24"/>
          <w:szCs w:val="24"/>
        </w:rPr>
        <w:t>在客户端出现</w:t>
      </w:r>
      <w:r>
        <w:rPr>
          <w:rFonts w:ascii="楷体" w:hAnsi="楷体" w:eastAsia="楷体"/>
          <w:color w:val="000000"/>
          <w:sz w:val="24"/>
          <w:szCs w:val="24"/>
        </w:rPr>
        <w:t>不良</w:t>
      </w:r>
      <w:r>
        <w:rPr>
          <w:rFonts w:hint="eastAsia" w:ascii="楷体" w:hAnsi="楷体" w:eastAsia="楷体"/>
          <w:color w:val="000000"/>
          <w:sz w:val="24"/>
          <w:szCs w:val="24"/>
        </w:rPr>
        <w:t>，</w:t>
      </w:r>
      <w:r>
        <w:rPr>
          <w:rFonts w:ascii="楷体" w:hAnsi="楷体" w:eastAsia="楷体"/>
          <w:color w:val="000000"/>
          <w:sz w:val="24"/>
          <w:szCs w:val="24"/>
        </w:rPr>
        <w:t>甲方有权自行对物料作退货处理，乙方对此不持异议并需承担相关费用。</w:t>
      </w:r>
    </w:p>
    <w:p w14:paraId="1A605504">
      <w:pPr>
        <w:spacing w:line="360" w:lineRule="auto"/>
        <w:rPr>
          <w:rFonts w:hint="eastAsia" w:ascii="楷体" w:hAnsi="楷体" w:eastAsia="楷体"/>
          <w:color w:val="000000"/>
          <w:sz w:val="24"/>
          <w:szCs w:val="24"/>
        </w:rPr>
      </w:pPr>
      <w:r>
        <w:rPr>
          <w:rFonts w:ascii="楷体" w:hAnsi="楷体" w:eastAsia="楷体"/>
          <w:color w:val="000000"/>
          <w:sz w:val="24"/>
          <w:szCs w:val="24"/>
        </w:rPr>
        <w:t>3.2若发生不合格，由甲方质量管理部向乙方发出不合格信息</w:t>
      </w:r>
      <w:r>
        <w:rPr>
          <w:rFonts w:hint="eastAsia" w:ascii="楷体" w:hAnsi="楷体" w:eastAsia="楷体"/>
          <w:color w:val="000000"/>
          <w:sz w:val="24"/>
          <w:szCs w:val="24"/>
        </w:rPr>
        <w:t>；</w:t>
      </w:r>
      <w:r>
        <w:rPr>
          <w:rFonts w:ascii="楷体" w:hAnsi="楷体" w:eastAsia="楷体"/>
          <w:color w:val="000000"/>
          <w:sz w:val="24"/>
          <w:szCs w:val="24"/>
        </w:rPr>
        <w:t>甲方可根据自身情况修订验收规则</w:t>
      </w:r>
      <w:r>
        <w:rPr>
          <w:rFonts w:hint="eastAsia" w:ascii="楷体" w:hAnsi="楷体" w:eastAsia="楷体"/>
          <w:color w:val="000000"/>
          <w:sz w:val="24"/>
          <w:szCs w:val="24"/>
        </w:rPr>
        <w:t>，</w:t>
      </w:r>
      <w:r>
        <w:rPr>
          <w:rFonts w:ascii="楷体" w:hAnsi="楷体" w:eastAsia="楷体"/>
          <w:color w:val="000000"/>
          <w:sz w:val="24"/>
          <w:szCs w:val="24"/>
        </w:rPr>
        <w:t xml:space="preserve"> 若涉及甲方验收标准值的变化，甲方应将相关变更通知乙方。当由于上述变更产生不合格时，变更前生产的产品乙方不负责，变更后生产的产品由乙方负责。</w:t>
      </w:r>
    </w:p>
    <w:p w14:paraId="638CB5BC">
      <w:pPr>
        <w:spacing w:line="360" w:lineRule="auto"/>
        <w:rPr>
          <w:rFonts w:hint="eastAsia" w:ascii="楷体" w:hAnsi="楷体" w:eastAsia="楷体"/>
          <w:b/>
          <w:bCs/>
          <w:color w:val="000000"/>
          <w:sz w:val="24"/>
          <w:szCs w:val="24"/>
        </w:rPr>
      </w:pPr>
      <w:r>
        <w:rPr>
          <w:rFonts w:ascii="楷体" w:hAnsi="楷体" w:eastAsia="楷体"/>
          <w:b/>
          <w:bCs/>
          <w:color w:val="000000"/>
          <w:sz w:val="24"/>
          <w:szCs w:val="24"/>
        </w:rPr>
        <w:t>3.3 产品质量控制要求</w:t>
      </w:r>
    </w:p>
    <w:p w14:paraId="2FB9CFC1">
      <w:pPr>
        <w:spacing w:line="360" w:lineRule="auto"/>
        <w:rPr>
          <w:rFonts w:hint="eastAsia" w:ascii="楷体" w:hAnsi="楷体" w:eastAsia="楷体"/>
          <w:color w:val="000000"/>
          <w:sz w:val="24"/>
          <w:szCs w:val="24"/>
        </w:rPr>
      </w:pPr>
      <w:r>
        <w:rPr>
          <w:rFonts w:ascii="楷体" w:hAnsi="楷体" w:eastAsia="楷体"/>
          <w:color w:val="000000"/>
          <w:sz w:val="24"/>
          <w:szCs w:val="24"/>
        </w:rPr>
        <w:t>3.3.1 乙方应依照</w:t>
      </w:r>
      <w:r>
        <w:rPr>
          <w:rFonts w:hint="eastAsia" w:ascii="楷体" w:hAnsi="楷体" w:eastAsia="楷体"/>
          <w:color w:val="000000"/>
          <w:sz w:val="24"/>
          <w:szCs w:val="24"/>
        </w:rPr>
        <w:t>甲方制定的最新质量管理要求</w:t>
      </w:r>
      <w:r>
        <w:rPr>
          <w:rFonts w:ascii="楷体" w:hAnsi="楷体" w:eastAsia="楷体"/>
          <w:color w:val="000000"/>
          <w:sz w:val="24"/>
          <w:szCs w:val="24"/>
        </w:rPr>
        <w:t>并保持文件化的</w:t>
      </w:r>
      <w:r>
        <w:rPr>
          <w:rFonts w:hint="eastAsia" w:ascii="楷体" w:hAnsi="楷体" w:eastAsia="楷体"/>
          <w:color w:val="000000"/>
          <w:sz w:val="24"/>
          <w:szCs w:val="24"/>
        </w:rPr>
        <w:t>质量追溯内容</w:t>
      </w:r>
      <w:r>
        <w:rPr>
          <w:rFonts w:ascii="楷体" w:hAnsi="楷体" w:eastAsia="楷体"/>
          <w:color w:val="000000"/>
          <w:sz w:val="24"/>
          <w:szCs w:val="24"/>
        </w:rPr>
        <w:t>， 并维持</w:t>
      </w:r>
      <w:r>
        <w:rPr>
          <w:rFonts w:hint="eastAsia" w:ascii="楷体" w:hAnsi="楷体" w:eastAsia="楷体"/>
          <w:color w:val="000000"/>
          <w:sz w:val="24"/>
          <w:szCs w:val="24"/>
        </w:rPr>
        <w:t>质量管理</w:t>
      </w:r>
      <w:r>
        <w:rPr>
          <w:rFonts w:ascii="楷体" w:hAnsi="楷体" w:eastAsia="楷体"/>
          <w:color w:val="000000"/>
          <w:sz w:val="24"/>
          <w:szCs w:val="24"/>
        </w:rPr>
        <w:t>零缺陷目标，不断地改进服务， 确保每批次交付的产品符合双方已确定的要求，要求包括但不限于： ①</w:t>
      </w:r>
      <w:r>
        <w:rPr>
          <w:rFonts w:hint="eastAsia" w:ascii="楷体" w:hAnsi="楷体" w:eastAsia="楷体"/>
          <w:color w:val="000000"/>
          <w:sz w:val="24"/>
          <w:szCs w:val="24"/>
        </w:rPr>
        <w:t>产品</w:t>
      </w:r>
      <w:r>
        <w:rPr>
          <w:rFonts w:ascii="楷体" w:hAnsi="楷体" w:eastAsia="楷体"/>
          <w:color w:val="000000"/>
          <w:sz w:val="24"/>
          <w:szCs w:val="24"/>
        </w:rPr>
        <w:t>的要求； ②《外协仓库成品出货作业指导书》 的要求； ③《采购合同》的要求；④其它书面确认的要求。</w:t>
      </w:r>
    </w:p>
    <w:p w14:paraId="5C7F7983">
      <w:pPr>
        <w:spacing w:line="360" w:lineRule="auto"/>
        <w:rPr>
          <w:rFonts w:hint="eastAsia" w:ascii="楷体" w:hAnsi="楷体" w:eastAsia="楷体"/>
          <w:color w:val="000000"/>
          <w:sz w:val="24"/>
          <w:szCs w:val="24"/>
        </w:rPr>
      </w:pPr>
      <w:r>
        <w:rPr>
          <w:rFonts w:ascii="楷体" w:hAnsi="楷体" w:eastAsia="楷体"/>
          <w:color w:val="000000"/>
          <w:sz w:val="24"/>
          <w:szCs w:val="24"/>
        </w:rPr>
        <w:t>3.3.2 甲方为实现对乙方提供产品的质量控制， 有权组织质量、技术、生产、采购等部门对乙方</w:t>
      </w:r>
      <w:r>
        <w:rPr>
          <w:rFonts w:hint="eastAsia" w:ascii="楷体" w:hAnsi="楷体" w:eastAsia="楷体"/>
          <w:color w:val="000000"/>
          <w:sz w:val="24"/>
          <w:szCs w:val="24"/>
        </w:rPr>
        <w:t>产品、过程质量</w:t>
      </w:r>
      <w:r>
        <w:rPr>
          <w:rFonts w:ascii="楷体" w:hAnsi="楷体" w:eastAsia="楷体"/>
          <w:color w:val="000000"/>
          <w:sz w:val="24"/>
          <w:szCs w:val="24"/>
        </w:rPr>
        <w:t>进行监督检查。</w:t>
      </w:r>
    </w:p>
    <w:p w14:paraId="57465130">
      <w:pPr>
        <w:spacing w:line="360" w:lineRule="auto"/>
        <w:rPr>
          <w:rFonts w:hint="eastAsia" w:ascii="楷体" w:hAnsi="楷体" w:eastAsia="楷体"/>
          <w:sz w:val="24"/>
          <w:szCs w:val="24"/>
        </w:rPr>
      </w:pPr>
      <w:r>
        <w:rPr>
          <w:rFonts w:hint="eastAsia" w:ascii="楷体" w:hAnsi="楷体" w:eastAsia="楷体"/>
          <w:color w:val="000000"/>
          <w:sz w:val="24"/>
          <w:szCs w:val="24"/>
        </w:rPr>
        <w:t>3.3.</w:t>
      </w:r>
      <w:r>
        <w:rPr>
          <w:rFonts w:ascii="楷体" w:hAnsi="楷体" w:eastAsia="楷体"/>
          <w:color w:val="000000"/>
          <w:sz w:val="24"/>
          <w:szCs w:val="24"/>
        </w:rPr>
        <w:t xml:space="preserve">3 </w:t>
      </w:r>
      <w:r>
        <w:rPr>
          <w:rFonts w:hint="eastAsia" w:ascii="楷体" w:hAnsi="楷体" w:eastAsia="楷体"/>
          <w:sz w:val="24"/>
          <w:szCs w:val="24"/>
        </w:rPr>
        <w:t>乙方针对甲方物料的全作业流程区域需安装360度无死角监控，并共享相关区域监控账号给予甲方，以便甲方实行远程质量监控。</w:t>
      </w:r>
    </w:p>
    <w:p w14:paraId="7D2B00BA">
      <w:pPr>
        <w:spacing w:line="360" w:lineRule="auto"/>
        <w:rPr>
          <w:rFonts w:hint="eastAsia" w:ascii="楷体" w:hAnsi="楷体" w:eastAsia="楷体"/>
          <w:sz w:val="24"/>
          <w:szCs w:val="24"/>
        </w:rPr>
      </w:pPr>
      <w:r>
        <w:rPr>
          <w:rFonts w:ascii="楷体" w:hAnsi="楷体" w:eastAsia="楷体"/>
          <w:sz w:val="24"/>
          <w:szCs w:val="24"/>
        </w:rPr>
        <w:t>3.3.4 甲乙双方关于产品的一切信息，均由双方相关部门领导或授权人员书面联络，任何个人口头承诺， 对双方均不具有效力。</w:t>
      </w:r>
    </w:p>
    <w:p w14:paraId="027675EC">
      <w:pPr>
        <w:spacing w:line="360" w:lineRule="auto"/>
        <w:rPr>
          <w:rFonts w:hint="eastAsia" w:ascii="楷体" w:hAnsi="楷体" w:eastAsia="楷体"/>
          <w:color w:val="000000"/>
          <w:sz w:val="24"/>
          <w:szCs w:val="24"/>
        </w:rPr>
      </w:pPr>
      <w:r>
        <w:rPr>
          <w:rFonts w:ascii="楷体" w:hAnsi="楷体" w:eastAsia="楷体"/>
          <w:sz w:val="24"/>
          <w:szCs w:val="24"/>
        </w:rPr>
        <w:t>3.3.5 必要时甲方将派出质量人员在乙方驻厂，对乙方</w:t>
      </w:r>
      <w:r>
        <w:rPr>
          <w:rFonts w:hint="eastAsia" w:ascii="楷体" w:hAnsi="楷体" w:eastAsia="楷体"/>
          <w:sz w:val="24"/>
          <w:szCs w:val="24"/>
        </w:rPr>
        <w:t>作业过程</w:t>
      </w:r>
      <w:r>
        <w:rPr>
          <w:rFonts w:ascii="楷体" w:hAnsi="楷体" w:eastAsia="楷体"/>
          <w:sz w:val="24"/>
          <w:szCs w:val="24"/>
        </w:rPr>
        <w:t>进</w:t>
      </w:r>
      <w:r>
        <w:rPr>
          <w:rFonts w:ascii="楷体" w:hAnsi="楷体" w:eastAsia="楷体"/>
          <w:color w:val="000000"/>
          <w:sz w:val="24"/>
          <w:szCs w:val="24"/>
        </w:rPr>
        <w:t>行监控，乙方应予以配合。</w:t>
      </w:r>
      <w:r>
        <w:rPr>
          <w:rFonts w:hint="eastAsia" w:ascii="楷体" w:hAnsi="楷体" w:eastAsia="楷体"/>
          <w:color w:val="000000"/>
          <w:sz w:val="24"/>
          <w:szCs w:val="24"/>
        </w:rPr>
        <w:br w:type="textWrapping"/>
      </w:r>
      <w:r>
        <w:rPr>
          <w:rFonts w:ascii="楷体" w:hAnsi="楷体" w:eastAsia="楷体"/>
          <w:color w:val="000000"/>
          <w:sz w:val="24"/>
          <w:szCs w:val="24"/>
        </w:rPr>
        <w:t>3.3.6 除非甲方事先给予书面同意，否则乙方不得将任何订单委托给第三方（含部分分包）。</w:t>
      </w:r>
    </w:p>
    <w:p w14:paraId="3CF2703E">
      <w:pPr>
        <w:spacing w:line="360" w:lineRule="auto"/>
        <w:rPr>
          <w:rFonts w:hint="eastAsia" w:ascii="楷体" w:hAnsi="楷体" w:eastAsia="楷体"/>
          <w:b/>
          <w:bCs/>
          <w:color w:val="000000"/>
          <w:sz w:val="24"/>
          <w:szCs w:val="24"/>
        </w:rPr>
      </w:pPr>
      <w:r>
        <w:rPr>
          <w:rFonts w:ascii="楷体" w:hAnsi="楷体" w:eastAsia="楷体"/>
          <w:b/>
          <w:bCs/>
          <w:color w:val="000000"/>
          <w:sz w:val="24"/>
          <w:szCs w:val="24"/>
        </w:rPr>
        <w:t>3.4质量信息反馈和处理</w:t>
      </w:r>
    </w:p>
    <w:p w14:paraId="3F961A50">
      <w:pPr>
        <w:spacing w:line="360" w:lineRule="auto"/>
        <w:rPr>
          <w:rFonts w:hint="eastAsia" w:ascii="楷体" w:hAnsi="楷体" w:eastAsia="楷体"/>
          <w:color w:val="000000"/>
          <w:sz w:val="24"/>
          <w:szCs w:val="24"/>
        </w:rPr>
      </w:pPr>
      <w:r>
        <w:rPr>
          <w:rFonts w:ascii="楷体" w:hAnsi="楷体" w:eastAsia="楷体"/>
          <w:color w:val="000000"/>
          <w:sz w:val="24"/>
          <w:szCs w:val="24"/>
        </w:rPr>
        <w:t>3.4.1 当甲方</w:t>
      </w:r>
      <w:r>
        <w:rPr>
          <w:rFonts w:hint="eastAsia" w:ascii="楷体" w:hAnsi="楷体" w:eastAsia="楷体"/>
          <w:color w:val="000000"/>
          <w:sz w:val="24"/>
          <w:szCs w:val="24"/>
        </w:rPr>
        <w:t>收到终端客户反馈不合格时</w:t>
      </w:r>
      <w:r>
        <w:rPr>
          <w:rFonts w:ascii="楷体" w:hAnsi="楷体" w:eastAsia="楷体"/>
          <w:color w:val="000000"/>
          <w:sz w:val="24"/>
          <w:szCs w:val="24"/>
        </w:rPr>
        <w:t xml:space="preserve">，甲方将向乙方发出《8D 问题点报告》，乙方在接到甲方《8D 问题点报告》 的反馈信息后必须立即组织分析和处理， 并于收到报告后 </w:t>
      </w:r>
      <w:r>
        <w:rPr>
          <w:rFonts w:hint="eastAsia" w:ascii="楷体" w:hAnsi="楷体" w:eastAsia="楷体"/>
          <w:color w:val="000000"/>
          <w:sz w:val="24"/>
          <w:szCs w:val="24"/>
        </w:rPr>
        <w:t>2</w:t>
      </w:r>
      <w:r>
        <w:rPr>
          <w:rFonts w:ascii="楷体" w:hAnsi="楷体" w:eastAsia="楷体"/>
          <w:color w:val="000000"/>
          <w:sz w:val="24"/>
          <w:szCs w:val="24"/>
        </w:rPr>
        <w:t xml:space="preserve"> 个工作日内回复初步原因</w:t>
      </w:r>
      <w:r>
        <w:rPr>
          <w:rFonts w:hint="eastAsia" w:ascii="楷体" w:hAnsi="楷体" w:eastAsia="楷体"/>
          <w:color w:val="000000"/>
          <w:sz w:val="24"/>
          <w:szCs w:val="24"/>
        </w:rPr>
        <w:t>，</w:t>
      </w:r>
      <w:r>
        <w:rPr>
          <w:rFonts w:ascii="楷体" w:hAnsi="楷体" w:eastAsia="楷体"/>
          <w:color w:val="000000"/>
          <w:sz w:val="24"/>
          <w:szCs w:val="24"/>
        </w:rPr>
        <w:t>10个工作日内关闭 8D。如有特殊情况，乙方需向甲方说明原因并征得甲方书面同意。</w:t>
      </w:r>
    </w:p>
    <w:p w14:paraId="3459CC88">
      <w:pPr>
        <w:spacing w:line="360" w:lineRule="auto"/>
        <w:rPr>
          <w:rFonts w:hint="eastAsia" w:ascii="楷体" w:hAnsi="楷体" w:eastAsia="楷体"/>
          <w:color w:val="000000"/>
          <w:sz w:val="24"/>
          <w:szCs w:val="24"/>
        </w:rPr>
      </w:pPr>
      <w:r>
        <w:rPr>
          <w:rFonts w:ascii="楷体" w:hAnsi="楷体" w:eastAsia="楷体"/>
          <w:color w:val="000000"/>
          <w:sz w:val="24"/>
          <w:szCs w:val="24"/>
        </w:rPr>
        <w:t>3.4.2 乙方应书面指定一名人员作为质量信息接收和反馈联络人， 该联络人负责每季度将该季度的品质情况汇总后与甲方质量管理部相关人员现场或书面交流，若甲方有要求需要现场交流的，乙方指定的联络人应按甲方的要求赴甲方处进行质量信息交流和反馈。若甲、乙双方任何一方指定的质量信息联络人发生变化的，应在一周内书面通知对方。</w:t>
      </w:r>
    </w:p>
    <w:p w14:paraId="35537B7B">
      <w:pPr>
        <w:spacing w:line="360" w:lineRule="auto"/>
        <w:rPr>
          <w:rFonts w:hint="eastAsia" w:ascii="楷体" w:hAnsi="楷体" w:eastAsia="楷体"/>
          <w:b/>
          <w:bCs/>
          <w:color w:val="000000"/>
          <w:sz w:val="24"/>
          <w:szCs w:val="24"/>
        </w:rPr>
      </w:pPr>
      <w:r>
        <w:rPr>
          <w:rFonts w:ascii="楷体" w:hAnsi="楷体" w:eastAsia="楷体"/>
          <w:b/>
          <w:bCs/>
          <w:color w:val="000000"/>
          <w:sz w:val="24"/>
          <w:szCs w:val="24"/>
        </w:rPr>
        <w:t>3.5 其它要求</w:t>
      </w:r>
    </w:p>
    <w:p w14:paraId="1C143EF4">
      <w:pPr>
        <w:spacing w:line="360" w:lineRule="auto"/>
        <w:rPr>
          <w:rFonts w:hint="eastAsia" w:ascii="楷体" w:hAnsi="楷体" w:eastAsia="楷体"/>
          <w:color w:val="000000"/>
          <w:sz w:val="24"/>
          <w:szCs w:val="24"/>
        </w:rPr>
      </w:pPr>
      <w:r>
        <w:rPr>
          <w:rFonts w:ascii="楷体" w:hAnsi="楷体" w:eastAsia="楷体"/>
          <w:color w:val="000000"/>
          <w:sz w:val="24"/>
          <w:szCs w:val="24"/>
        </w:rPr>
        <w:t>3.5.1 乙方制造产品所必须的设备、机械、模具、工装、夹具、监视测量装置和试验机等，应按要求进行维护管理工作，以确保产品质量和保证必要的精确度。</w:t>
      </w:r>
    </w:p>
    <w:p w14:paraId="0417CBFB">
      <w:pPr>
        <w:spacing w:line="360" w:lineRule="auto"/>
        <w:rPr>
          <w:rFonts w:hint="eastAsia" w:ascii="楷体" w:hAnsi="楷体" w:eastAsia="楷体"/>
          <w:color w:val="000000"/>
          <w:sz w:val="24"/>
          <w:szCs w:val="24"/>
        </w:rPr>
      </w:pPr>
      <w:r>
        <w:rPr>
          <w:rFonts w:ascii="楷体" w:hAnsi="楷体" w:eastAsia="楷体"/>
          <w:color w:val="000000"/>
          <w:sz w:val="24"/>
          <w:szCs w:val="24"/>
        </w:rPr>
        <w:t>3.5.2</w:t>
      </w:r>
      <w:r>
        <w:rPr>
          <w:rFonts w:hint="eastAsia" w:ascii="楷体" w:hAnsi="楷体" w:eastAsia="楷体"/>
          <w:color w:val="000000"/>
          <w:sz w:val="24"/>
          <w:szCs w:val="24"/>
        </w:rPr>
        <w:t>乙方对产品的储存和运输应制定严格的管理制度，确保产品在储存和运输过程不会产生质量问题。</w:t>
      </w:r>
    </w:p>
    <w:p w14:paraId="643DD7B6">
      <w:pPr>
        <w:spacing w:line="360" w:lineRule="auto"/>
        <w:rPr>
          <w:rFonts w:hint="eastAsia" w:ascii="楷体" w:hAnsi="楷体" w:eastAsia="楷体"/>
          <w:b/>
          <w:bCs/>
          <w:color w:val="000000"/>
          <w:sz w:val="24"/>
          <w:szCs w:val="24"/>
        </w:rPr>
      </w:pPr>
      <w:r>
        <w:rPr>
          <w:rFonts w:ascii="楷体" w:hAnsi="楷体" w:eastAsia="楷体"/>
          <w:b/>
          <w:bCs/>
          <w:color w:val="000000"/>
          <w:sz w:val="24"/>
          <w:szCs w:val="24"/>
        </w:rPr>
        <w:t>4、 变更管理</w:t>
      </w:r>
    </w:p>
    <w:p w14:paraId="293C0AA0">
      <w:pPr>
        <w:spacing w:line="360" w:lineRule="auto"/>
        <w:rPr>
          <w:rFonts w:hint="eastAsia" w:ascii="楷体" w:hAnsi="楷体" w:eastAsia="楷体"/>
          <w:color w:val="000000"/>
          <w:sz w:val="24"/>
          <w:szCs w:val="24"/>
        </w:rPr>
      </w:pPr>
      <w:r>
        <w:rPr>
          <w:rFonts w:ascii="楷体" w:hAnsi="楷体" w:eastAsia="楷体"/>
          <w:color w:val="000000"/>
          <w:sz w:val="24"/>
          <w:szCs w:val="24"/>
        </w:rPr>
        <w:t>4.1 如因乙方原因需进行产品变更或过程变更：</w:t>
      </w:r>
    </w:p>
    <w:p w14:paraId="296662DD">
      <w:pPr>
        <w:spacing w:line="360" w:lineRule="auto"/>
        <w:rPr>
          <w:rFonts w:hint="eastAsia" w:ascii="楷体" w:hAnsi="楷体" w:eastAsia="楷体"/>
          <w:color w:val="000000"/>
          <w:sz w:val="24"/>
          <w:szCs w:val="24"/>
        </w:rPr>
      </w:pPr>
      <w:r>
        <w:rPr>
          <w:rFonts w:ascii="楷体" w:hAnsi="楷体" w:eastAsia="楷体"/>
          <w:color w:val="000000"/>
          <w:sz w:val="24"/>
          <w:szCs w:val="24"/>
        </w:rPr>
        <w:t>①涉及重大变更的，乙方需在变更前两个月提出书面申请，由甲方归口管理部门对变更后样品、 检测报告和性能测试报告进行确认，并由甲方评估是否需要重新进行现场审核确认，经甲方同意并回签变更申请后方能实施变更；</w:t>
      </w:r>
    </w:p>
    <w:p w14:paraId="7E44217D">
      <w:pPr>
        <w:spacing w:line="360" w:lineRule="auto"/>
        <w:rPr>
          <w:rFonts w:hint="eastAsia" w:ascii="楷体" w:hAnsi="楷体" w:eastAsia="楷体"/>
          <w:color w:val="000000"/>
          <w:sz w:val="24"/>
          <w:szCs w:val="24"/>
        </w:rPr>
      </w:pPr>
      <w:r>
        <w:rPr>
          <w:rFonts w:ascii="楷体" w:hAnsi="楷体" w:eastAsia="楷体"/>
          <w:color w:val="000000"/>
          <w:sz w:val="24"/>
          <w:szCs w:val="24"/>
        </w:rPr>
        <w:t>②涉及一般变更的，乙方需在变更前一个月提出书面申请，甲方视实际情况进行文件评审或现场评审，经甲方同意并回签变更申请后方能实施变更；</w:t>
      </w:r>
    </w:p>
    <w:p w14:paraId="5CB9C6A5">
      <w:pPr>
        <w:spacing w:line="360" w:lineRule="auto"/>
        <w:rPr>
          <w:rFonts w:hint="eastAsia" w:ascii="楷体" w:hAnsi="楷体" w:eastAsia="楷体"/>
          <w:color w:val="000000"/>
          <w:sz w:val="24"/>
          <w:szCs w:val="24"/>
        </w:rPr>
      </w:pPr>
      <w:r>
        <w:rPr>
          <w:rFonts w:ascii="楷体" w:hAnsi="楷体" w:eastAsia="楷体"/>
          <w:color w:val="000000"/>
          <w:sz w:val="24"/>
          <w:szCs w:val="24"/>
        </w:rPr>
        <w:t>③涉及简易变更的，乙方需做好内部管理，并保留变更前后的验证记录，在证实变更不影响甲方质量要求的前提下，方可实施变更（关于变更的分类等级详见下表 4.4《变更管理矩阵》）。</w:t>
      </w:r>
    </w:p>
    <w:p w14:paraId="1D4AB255">
      <w:pPr>
        <w:spacing w:line="360" w:lineRule="auto"/>
        <w:rPr>
          <w:rFonts w:hint="eastAsia" w:ascii="楷体" w:hAnsi="楷体" w:eastAsia="楷体"/>
          <w:color w:val="000000"/>
          <w:sz w:val="24"/>
          <w:szCs w:val="24"/>
        </w:rPr>
      </w:pPr>
      <w:r>
        <w:rPr>
          <w:rFonts w:ascii="楷体" w:hAnsi="楷体" w:eastAsia="楷体"/>
          <w:color w:val="000000"/>
          <w:sz w:val="24"/>
          <w:szCs w:val="24"/>
        </w:rPr>
        <w:t>4.2 因乙方原因发起的变更，在甲方批准后，乙方应明确告知甲方变更前产品的库存及处理方式，提供变更后产品的预计交付日期，并在变更后的首批外包装和最小包装上标识变更内容。</w:t>
      </w:r>
    </w:p>
    <w:p w14:paraId="20551F88">
      <w:pPr>
        <w:spacing w:line="360" w:lineRule="auto"/>
        <w:rPr>
          <w:rFonts w:hint="eastAsia" w:ascii="楷体" w:hAnsi="楷体" w:eastAsia="楷体"/>
          <w:color w:val="000000"/>
          <w:sz w:val="24"/>
          <w:szCs w:val="24"/>
        </w:rPr>
      </w:pPr>
      <w:r>
        <w:rPr>
          <w:rFonts w:ascii="楷体" w:hAnsi="楷体" w:eastAsia="楷体"/>
          <w:color w:val="000000"/>
          <w:sz w:val="24"/>
          <w:szCs w:val="24"/>
        </w:rPr>
        <w:t>4.3 因甲方原因发起的变更，乙方需配合甲方统计产品库存，并由双方协商库存处理方式，在甲方正式通知乙方相关变更内容后，除非经甲方相关部门领导或授权人员书面联络，否则在变更通知之日起，乙方按变更前要求继续生产的产品，由乙方自行承担。</w:t>
      </w:r>
    </w:p>
    <w:p w14:paraId="72948269">
      <w:pPr>
        <w:spacing w:line="360" w:lineRule="auto"/>
        <w:rPr>
          <w:rFonts w:hint="eastAsia" w:ascii="楷体" w:hAnsi="楷体" w:eastAsia="楷体"/>
          <w:color w:val="000000"/>
          <w:sz w:val="24"/>
          <w:szCs w:val="24"/>
        </w:rPr>
      </w:pPr>
      <w:r>
        <w:rPr>
          <w:rFonts w:hint="eastAsia" w:ascii="楷体" w:hAnsi="楷体" w:eastAsia="楷体"/>
          <w:color w:val="000000"/>
          <w:sz w:val="24"/>
          <w:szCs w:val="24"/>
        </w:rPr>
        <w:t>4</w:t>
      </w:r>
      <w:r>
        <w:rPr>
          <w:rFonts w:ascii="楷体" w:hAnsi="楷体" w:eastAsia="楷体"/>
          <w:color w:val="000000"/>
          <w:sz w:val="24"/>
          <w:szCs w:val="24"/>
        </w:rPr>
        <w:t>.4</w:t>
      </w:r>
      <w:r>
        <w:rPr>
          <w:rFonts w:hint="eastAsia" w:ascii="楷体" w:hAnsi="楷体" w:eastAsia="楷体"/>
          <w:color w:val="000000"/>
          <w:sz w:val="24"/>
          <w:szCs w:val="24"/>
        </w:rPr>
        <w:t>变更管理矩阵</w:t>
      </w:r>
    </w:p>
    <w:tbl>
      <w:tblPr>
        <w:tblStyle w:val="5"/>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666"/>
        <w:gridCol w:w="2126"/>
        <w:gridCol w:w="5103"/>
        <w:gridCol w:w="1134"/>
      </w:tblGrid>
      <w:tr w14:paraId="711A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456" w:type="dxa"/>
          </w:tcPr>
          <w:p w14:paraId="4101B3DE">
            <w:pPr>
              <w:spacing w:line="360" w:lineRule="auto"/>
              <w:jc w:val="center"/>
              <w:rPr>
                <w:rFonts w:hint="eastAsia" w:ascii="宋体" w:hAnsi="宋体" w:eastAsia="宋体"/>
                <w:b/>
                <w:bCs/>
              </w:rPr>
            </w:pPr>
            <w:r>
              <w:rPr>
                <w:rFonts w:hint="eastAsia" w:ascii="宋体" w:hAnsi="宋体" w:eastAsia="宋体"/>
                <w:b/>
                <w:bCs/>
              </w:rPr>
              <w:t>序号</w:t>
            </w:r>
          </w:p>
        </w:tc>
        <w:tc>
          <w:tcPr>
            <w:tcW w:w="1666" w:type="dxa"/>
            <w:vAlign w:val="center"/>
          </w:tcPr>
          <w:p w14:paraId="795E190C">
            <w:pPr>
              <w:jc w:val="center"/>
              <w:rPr>
                <w:rFonts w:hint="eastAsia" w:ascii="宋体" w:hAnsi="宋体" w:eastAsia="宋体"/>
                <w:b/>
                <w:bCs/>
              </w:rPr>
            </w:pPr>
            <w:r>
              <w:rPr>
                <w:rFonts w:hint="eastAsia" w:ascii="宋体" w:hAnsi="宋体" w:eastAsia="宋体"/>
                <w:b/>
                <w:bCs/>
              </w:rPr>
              <w:t>变更类别</w:t>
            </w:r>
          </w:p>
        </w:tc>
        <w:tc>
          <w:tcPr>
            <w:tcW w:w="2126" w:type="dxa"/>
            <w:vAlign w:val="center"/>
          </w:tcPr>
          <w:p w14:paraId="29F3D38D">
            <w:pPr>
              <w:jc w:val="center"/>
              <w:rPr>
                <w:rFonts w:hint="eastAsia" w:ascii="宋体" w:hAnsi="宋体" w:eastAsia="宋体"/>
                <w:b/>
                <w:bCs/>
              </w:rPr>
            </w:pPr>
            <w:r>
              <w:rPr>
                <w:rFonts w:hint="eastAsia" w:ascii="宋体" w:hAnsi="宋体" w:eastAsia="宋体"/>
                <w:b/>
                <w:bCs/>
              </w:rPr>
              <w:t>变更细项类别</w:t>
            </w:r>
          </w:p>
        </w:tc>
        <w:tc>
          <w:tcPr>
            <w:tcW w:w="5103" w:type="dxa"/>
            <w:vAlign w:val="center"/>
          </w:tcPr>
          <w:p w14:paraId="0A079B2C">
            <w:pPr>
              <w:jc w:val="center"/>
              <w:rPr>
                <w:rFonts w:hint="eastAsia" w:ascii="宋体" w:hAnsi="宋体" w:eastAsia="宋体"/>
                <w:b/>
                <w:bCs/>
              </w:rPr>
            </w:pPr>
            <w:r>
              <w:rPr>
                <w:rFonts w:hint="eastAsia" w:ascii="宋体" w:hAnsi="宋体" w:eastAsia="宋体"/>
                <w:b/>
                <w:bCs/>
              </w:rPr>
              <w:t>变更细节描述，举例</w:t>
            </w:r>
          </w:p>
        </w:tc>
        <w:tc>
          <w:tcPr>
            <w:tcW w:w="1134" w:type="dxa"/>
            <w:vAlign w:val="center"/>
          </w:tcPr>
          <w:p w14:paraId="60D89D61">
            <w:pPr>
              <w:spacing w:line="360" w:lineRule="auto"/>
              <w:jc w:val="center"/>
              <w:rPr>
                <w:rFonts w:hint="eastAsia" w:ascii="宋体" w:hAnsi="宋体" w:eastAsia="宋体"/>
                <w:b/>
                <w:bCs/>
              </w:rPr>
            </w:pPr>
            <w:r>
              <w:rPr>
                <w:rFonts w:hint="eastAsia" w:ascii="宋体" w:hAnsi="宋体" w:eastAsia="宋体"/>
                <w:b/>
                <w:bCs/>
              </w:rPr>
              <w:t>变更等级</w:t>
            </w:r>
          </w:p>
        </w:tc>
      </w:tr>
      <w:tr w14:paraId="33C5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6" w:type="dxa"/>
            <w:vAlign w:val="center"/>
          </w:tcPr>
          <w:p w14:paraId="22B31343">
            <w:pPr>
              <w:spacing w:line="360" w:lineRule="auto"/>
              <w:jc w:val="center"/>
              <w:rPr>
                <w:rFonts w:hint="eastAsia" w:ascii="宋体" w:hAnsi="宋体" w:eastAsia="宋体"/>
                <w:sz w:val="18"/>
                <w:szCs w:val="18"/>
              </w:rPr>
            </w:pPr>
            <w:r>
              <w:rPr>
                <w:rFonts w:hint="eastAsia" w:ascii="宋体" w:hAnsi="宋体" w:eastAsia="宋体"/>
                <w:sz w:val="18"/>
                <w:szCs w:val="18"/>
              </w:rPr>
              <w:t>1</w:t>
            </w:r>
          </w:p>
        </w:tc>
        <w:tc>
          <w:tcPr>
            <w:tcW w:w="1666" w:type="dxa"/>
            <w:vAlign w:val="center"/>
          </w:tcPr>
          <w:p w14:paraId="4AF6A7D0">
            <w:pPr>
              <w:jc w:val="center"/>
              <w:rPr>
                <w:rFonts w:hint="eastAsia" w:ascii="宋体" w:hAnsi="宋体" w:eastAsia="宋体"/>
                <w:sz w:val="18"/>
                <w:szCs w:val="18"/>
              </w:rPr>
            </w:pPr>
            <w:r>
              <w:rPr>
                <w:rFonts w:hint="eastAsia" w:ascii="宋体" w:hAnsi="宋体" w:eastAsia="宋体"/>
                <w:sz w:val="18"/>
                <w:szCs w:val="18"/>
              </w:rPr>
              <w:t>人员</w:t>
            </w:r>
          </w:p>
        </w:tc>
        <w:tc>
          <w:tcPr>
            <w:tcW w:w="2126" w:type="dxa"/>
            <w:vAlign w:val="center"/>
          </w:tcPr>
          <w:p w14:paraId="7390B26C">
            <w:pPr>
              <w:jc w:val="center"/>
              <w:rPr>
                <w:rFonts w:hint="eastAsia" w:ascii="宋体" w:hAnsi="宋体" w:eastAsia="宋体"/>
                <w:sz w:val="18"/>
                <w:szCs w:val="18"/>
              </w:rPr>
            </w:pPr>
            <w:r>
              <w:rPr>
                <w:rFonts w:hint="eastAsia" w:ascii="宋体" w:hAnsi="宋体" w:eastAsia="宋体"/>
                <w:sz w:val="18"/>
                <w:szCs w:val="18"/>
              </w:rPr>
              <w:t>窗口人员</w:t>
            </w:r>
          </w:p>
        </w:tc>
        <w:tc>
          <w:tcPr>
            <w:tcW w:w="5103" w:type="dxa"/>
            <w:vAlign w:val="center"/>
          </w:tcPr>
          <w:p w14:paraId="1119CD9A">
            <w:pPr>
              <w:widowControl/>
              <w:jc w:val="left"/>
              <w:rPr>
                <w:rFonts w:hint="eastAsia" w:ascii="宋体" w:hAnsi="宋体" w:eastAsia="宋体"/>
                <w:sz w:val="18"/>
                <w:szCs w:val="18"/>
              </w:rPr>
            </w:pPr>
            <w:r>
              <w:rPr>
                <w:rStyle w:val="7"/>
                <w:rFonts w:hint="default" w:ascii="宋体" w:hAnsi="宋体" w:eastAsia="宋体"/>
                <w:sz w:val="18"/>
                <w:szCs w:val="18"/>
              </w:rPr>
              <w:t>与甲方进行日常工作对接的质量人员、业务人员</w:t>
            </w:r>
          </w:p>
        </w:tc>
        <w:tc>
          <w:tcPr>
            <w:tcW w:w="1134" w:type="dxa"/>
            <w:vAlign w:val="center"/>
          </w:tcPr>
          <w:p w14:paraId="25F143DF">
            <w:pPr>
              <w:spacing w:line="360" w:lineRule="auto"/>
              <w:jc w:val="center"/>
              <w:rPr>
                <w:rFonts w:hint="eastAsia" w:ascii="宋体" w:hAnsi="宋体" w:eastAsia="宋体"/>
                <w:sz w:val="18"/>
                <w:szCs w:val="18"/>
              </w:rPr>
            </w:pPr>
            <w:r>
              <w:rPr>
                <w:rFonts w:hint="eastAsia" w:ascii="宋体" w:hAnsi="宋体" w:eastAsia="宋体"/>
                <w:sz w:val="18"/>
                <w:szCs w:val="18"/>
              </w:rPr>
              <w:t>一般</w:t>
            </w:r>
          </w:p>
        </w:tc>
      </w:tr>
      <w:tr w14:paraId="02B1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56" w:type="dxa"/>
            <w:vMerge w:val="restart"/>
            <w:vAlign w:val="center"/>
          </w:tcPr>
          <w:p w14:paraId="335CB30C">
            <w:pPr>
              <w:spacing w:line="360" w:lineRule="auto"/>
              <w:jc w:val="center"/>
              <w:rPr>
                <w:rFonts w:hint="eastAsia" w:ascii="宋体" w:hAnsi="宋体" w:eastAsia="宋体"/>
                <w:sz w:val="18"/>
                <w:szCs w:val="18"/>
              </w:rPr>
            </w:pPr>
            <w:r>
              <w:rPr>
                <w:rFonts w:hint="eastAsia" w:ascii="宋体" w:hAnsi="宋体" w:eastAsia="宋体"/>
                <w:sz w:val="18"/>
                <w:szCs w:val="18"/>
              </w:rPr>
              <w:t>2</w:t>
            </w:r>
          </w:p>
        </w:tc>
        <w:tc>
          <w:tcPr>
            <w:tcW w:w="1666" w:type="dxa"/>
            <w:vMerge w:val="restart"/>
            <w:vAlign w:val="center"/>
          </w:tcPr>
          <w:p w14:paraId="064DA748">
            <w:pPr>
              <w:jc w:val="center"/>
              <w:rPr>
                <w:rFonts w:hint="eastAsia" w:ascii="宋体" w:hAnsi="宋体" w:eastAsia="宋体"/>
                <w:sz w:val="18"/>
                <w:szCs w:val="18"/>
              </w:rPr>
            </w:pPr>
            <w:r>
              <w:rPr>
                <w:rFonts w:hint="eastAsia" w:ascii="宋体" w:hAnsi="宋体" w:eastAsia="宋体"/>
                <w:sz w:val="18"/>
                <w:szCs w:val="18"/>
              </w:rPr>
              <w:t>仓储</w:t>
            </w:r>
          </w:p>
        </w:tc>
        <w:tc>
          <w:tcPr>
            <w:tcW w:w="2126" w:type="dxa"/>
            <w:vAlign w:val="center"/>
          </w:tcPr>
          <w:p w14:paraId="6C17396A">
            <w:pPr>
              <w:jc w:val="center"/>
              <w:rPr>
                <w:rFonts w:hint="eastAsia" w:ascii="宋体" w:hAnsi="宋体" w:eastAsia="宋体"/>
                <w:sz w:val="18"/>
                <w:szCs w:val="18"/>
              </w:rPr>
            </w:pPr>
            <w:r>
              <w:rPr>
                <w:rFonts w:hint="eastAsia" w:ascii="宋体" w:hAnsi="宋体" w:eastAsia="宋体"/>
                <w:sz w:val="18"/>
                <w:szCs w:val="18"/>
              </w:rPr>
              <w:t>关键产品特性相关设备</w:t>
            </w:r>
          </w:p>
        </w:tc>
        <w:tc>
          <w:tcPr>
            <w:tcW w:w="5103" w:type="dxa"/>
            <w:vAlign w:val="center"/>
          </w:tcPr>
          <w:p w14:paraId="5202838E">
            <w:pPr>
              <w:widowControl/>
              <w:jc w:val="left"/>
              <w:rPr>
                <w:rFonts w:hint="eastAsia" w:ascii="宋体" w:hAnsi="宋体" w:eastAsia="宋体"/>
                <w:sz w:val="18"/>
                <w:szCs w:val="18"/>
              </w:rPr>
            </w:pPr>
            <w:r>
              <w:rPr>
                <w:rStyle w:val="7"/>
                <w:rFonts w:hint="default" w:ascii="宋体" w:hAnsi="宋体" w:eastAsia="宋体"/>
                <w:sz w:val="18"/>
                <w:szCs w:val="18"/>
              </w:rPr>
              <w:t>对关键产品特性有影响的设备的更新，替换，如打包设备变化，品牌变化；</w:t>
            </w:r>
          </w:p>
        </w:tc>
        <w:tc>
          <w:tcPr>
            <w:tcW w:w="1134" w:type="dxa"/>
            <w:vAlign w:val="center"/>
          </w:tcPr>
          <w:p w14:paraId="457DB5BA">
            <w:pPr>
              <w:spacing w:line="360" w:lineRule="auto"/>
              <w:jc w:val="center"/>
              <w:rPr>
                <w:rFonts w:hint="eastAsia" w:ascii="宋体" w:hAnsi="宋体" w:eastAsia="宋体"/>
                <w:sz w:val="18"/>
                <w:szCs w:val="18"/>
              </w:rPr>
            </w:pPr>
            <w:r>
              <w:rPr>
                <w:rFonts w:hint="eastAsia" w:ascii="宋体" w:hAnsi="宋体" w:eastAsia="宋体"/>
                <w:sz w:val="18"/>
                <w:szCs w:val="18"/>
              </w:rPr>
              <w:t>重大</w:t>
            </w:r>
          </w:p>
        </w:tc>
      </w:tr>
      <w:tr w14:paraId="6E4B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56" w:type="dxa"/>
            <w:vMerge w:val="continue"/>
            <w:vAlign w:val="center"/>
          </w:tcPr>
          <w:p w14:paraId="6F1EEF64">
            <w:pPr>
              <w:spacing w:line="360" w:lineRule="auto"/>
              <w:jc w:val="center"/>
              <w:rPr>
                <w:rFonts w:hint="eastAsia" w:ascii="宋体" w:hAnsi="宋体" w:eastAsia="宋体"/>
                <w:sz w:val="18"/>
                <w:szCs w:val="18"/>
              </w:rPr>
            </w:pPr>
          </w:p>
        </w:tc>
        <w:tc>
          <w:tcPr>
            <w:tcW w:w="1666" w:type="dxa"/>
            <w:vMerge w:val="continue"/>
            <w:vAlign w:val="center"/>
          </w:tcPr>
          <w:p w14:paraId="10D2B66F">
            <w:pPr>
              <w:jc w:val="center"/>
              <w:rPr>
                <w:rFonts w:hint="eastAsia" w:ascii="宋体" w:hAnsi="宋体" w:eastAsia="宋体"/>
                <w:sz w:val="18"/>
                <w:szCs w:val="18"/>
              </w:rPr>
            </w:pPr>
          </w:p>
        </w:tc>
        <w:tc>
          <w:tcPr>
            <w:tcW w:w="2126" w:type="dxa"/>
            <w:vAlign w:val="center"/>
          </w:tcPr>
          <w:p w14:paraId="7EAD887A">
            <w:pPr>
              <w:jc w:val="center"/>
              <w:rPr>
                <w:rFonts w:hint="eastAsia" w:ascii="宋体" w:hAnsi="宋体" w:eastAsia="宋体"/>
                <w:sz w:val="18"/>
                <w:szCs w:val="18"/>
              </w:rPr>
            </w:pPr>
            <w:r>
              <w:rPr>
                <w:rFonts w:hint="eastAsia" w:ascii="宋体" w:hAnsi="宋体" w:eastAsia="宋体"/>
                <w:sz w:val="18"/>
                <w:szCs w:val="18"/>
              </w:rPr>
              <w:t>普通工序设备</w:t>
            </w:r>
          </w:p>
        </w:tc>
        <w:tc>
          <w:tcPr>
            <w:tcW w:w="5103" w:type="dxa"/>
            <w:vAlign w:val="center"/>
          </w:tcPr>
          <w:p w14:paraId="6259AD73">
            <w:pPr>
              <w:widowControl/>
              <w:jc w:val="left"/>
              <w:rPr>
                <w:rFonts w:hint="eastAsia" w:ascii="宋体" w:hAnsi="宋体" w:eastAsia="宋体"/>
                <w:sz w:val="18"/>
                <w:szCs w:val="18"/>
              </w:rPr>
            </w:pPr>
            <w:r>
              <w:rPr>
                <w:rStyle w:val="7"/>
                <w:rFonts w:hint="default" w:ascii="宋体" w:hAnsi="宋体" w:eastAsia="宋体"/>
                <w:sz w:val="18"/>
                <w:szCs w:val="18"/>
              </w:rPr>
              <w:t>对关键产品特性没有影响的设备的更新，如叉车；</w:t>
            </w:r>
          </w:p>
        </w:tc>
        <w:tc>
          <w:tcPr>
            <w:tcW w:w="1134" w:type="dxa"/>
            <w:vAlign w:val="center"/>
          </w:tcPr>
          <w:p w14:paraId="255FFBCE">
            <w:pPr>
              <w:spacing w:line="360" w:lineRule="auto"/>
              <w:jc w:val="center"/>
              <w:rPr>
                <w:rFonts w:hint="eastAsia" w:ascii="宋体" w:hAnsi="宋体" w:eastAsia="宋体"/>
                <w:sz w:val="18"/>
                <w:szCs w:val="18"/>
              </w:rPr>
            </w:pPr>
            <w:r>
              <w:rPr>
                <w:rFonts w:hint="eastAsia" w:ascii="宋体" w:hAnsi="宋体" w:eastAsia="宋体"/>
                <w:sz w:val="18"/>
                <w:szCs w:val="18"/>
              </w:rPr>
              <w:t>简易</w:t>
            </w:r>
          </w:p>
        </w:tc>
      </w:tr>
      <w:tr w14:paraId="6C3C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56" w:type="dxa"/>
            <w:vMerge w:val="restart"/>
            <w:vAlign w:val="center"/>
          </w:tcPr>
          <w:p w14:paraId="3D0DAEAA">
            <w:pPr>
              <w:spacing w:line="360" w:lineRule="auto"/>
              <w:jc w:val="center"/>
              <w:rPr>
                <w:rFonts w:hint="eastAsia" w:ascii="宋体" w:hAnsi="宋体" w:eastAsia="宋体"/>
                <w:sz w:val="18"/>
                <w:szCs w:val="18"/>
              </w:rPr>
            </w:pPr>
            <w:r>
              <w:rPr>
                <w:rFonts w:ascii="宋体" w:hAnsi="宋体" w:eastAsia="宋体"/>
                <w:sz w:val="18"/>
                <w:szCs w:val="18"/>
              </w:rPr>
              <w:t>3</w:t>
            </w:r>
          </w:p>
        </w:tc>
        <w:tc>
          <w:tcPr>
            <w:tcW w:w="1666" w:type="dxa"/>
            <w:vMerge w:val="restart"/>
            <w:vAlign w:val="center"/>
          </w:tcPr>
          <w:p w14:paraId="50F28A6C">
            <w:pPr>
              <w:jc w:val="center"/>
              <w:rPr>
                <w:rFonts w:hint="eastAsia" w:ascii="宋体" w:hAnsi="宋体" w:eastAsia="宋体"/>
                <w:sz w:val="18"/>
                <w:szCs w:val="18"/>
              </w:rPr>
            </w:pPr>
            <w:r>
              <w:rPr>
                <w:rFonts w:hint="eastAsia" w:ascii="宋体" w:hAnsi="宋体" w:eastAsia="宋体"/>
                <w:sz w:val="18"/>
                <w:szCs w:val="18"/>
              </w:rPr>
              <w:t>制造方法和条件</w:t>
            </w:r>
          </w:p>
        </w:tc>
        <w:tc>
          <w:tcPr>
            <w:tcW w:w="2126" w:type="dxa"/>
            <w:vAlign w:val="center"/>
          </w:tcPr>
          <w:p w14:paraId="03B522D6">
            <w:pPr>
              <w:jc w:val="center"/>
              <w:rPr>
                <w:rFonts w:hint="eastAsia" w:ascii="宋体" w:hAnsi="宋体" w:eastAsia="宋体"/>
                <w:sz w:val="18"/>
                <w:szCs w:val="18"/>
              </w:rPr>
            </w:pPr>
            <w:r>
              <w:rPr>
                <w:rFonts w:hint="eastAsia" w:ascii="宋体" w:hAnsi="宋体" w:eastAsia="宋体"/>
                <w:sz w:val="18"/>
                <w:szCs w:val="18"/>
              </w:rPr>
              <w:t>生产工艺流程的变化</w:t>
            </w:r>
          </w:p>
        </w:tc>
        <w:tc>
          <w:tcPr>
            <w:tcW w:w="5103" w:type="dxa"/>
            <w:vAlign w:val="center"/>
          </w:tcPr>
          <w:p w14:paraId="570617CD">
            <w:pPr>
              <w:widowControl/>
              <w:jc w:val="left"/>
              <w:rPr>
                <w:rFonts w:hint="eastAsia" w:ascii="宋体" w:hAnsi="宋体" w:eastAsia="宋体"/>
                <w:sz w:val="18"/>
                <w:szCs w:val="18"/>
              </w:rPr>
            </w:pPr>
            <w:r>
              <w:rPr>
                <w:rStyle w:val="7"/>
                <w:rFonts w:hint="default" w:ascii="宋体" w:hAnsi="宋体" w:eastAsia="宋体"/>
                <w:sz w:val="18"/>
                <w:szCs w:val="18"/>
              </w:rPr>
              <w:t>工序顺序的变更，增减，自动化升级等</w:t>
            </w:r>
          </w:p>
        </w:tc>
        <w:tc>
          <w:tcPr>
            <w:tcW w:w="1134" w:type="dxa"/>
            <w:vAlign w:val="center"/>
          </w:tcPr>
          <w:p w14:paraId="1FCBE5D2">
            <w:pPr>
              <w:spacing w:line="360" w:lineRule="auto"/>
              <w:jc w:val="center"/>
              <w:rPr>
                <w:rFonts w:hint="eastAsia" w:ascii="宋体" w:hAnsi="宋体" w:eastAsia="宋体"/>
                <w:sz w:val="18"/>
                <w:szCs w:val="18"/>
              </w:rPr>
            </w:pPr>
            <w:r>
              <w:rPr>
                <w:rFonts w:hint="eastAsia" w:ascii="宋体" w:hAnsi="宋体" w:eastAsia="宋体"/>
                <w:sz w:val="18"/>
                <w:szCs w:val="18"/>
              </w:rPr>
              <w:t>重大</w:t>
            </w:r>
          </w:p>
        </w:tc>
      </w:tr>
      <w:tr w14:paraId="1067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56" w:type="dxa"/>
            <w:vMerge w:val="continue"/>
            <w:vAlign w:val="center"/>
          </w:tcPr>
          <w:p w14:paraId="6654939E">
            <w:pPr>
              <w:spacing w:line="360" w:lineRule="auto"/>
              <w:jc w:val="center"/>
              <w:rPr>
                <w:rFonts w:hint="eastAsia" w:ascii="宋体" w:hAnsi="宋体" w:eastAsia="宋体"/>
                <w:sz w:val="18"/>
                <w:szCs w:val="18"/>
              </w:rPr>
            </w:pPr>
          </w:p>
        </w:tc>
        <w:tc>
          <w:tcPr>
            <w:tcW w:w="1666" w:type="dxa"/>
            <w:vMerge w:val="continue"/>
            <w:vAlign w:val="center"/>
          </w:tcPr>
          <w:p w14:paraId="55B009F6">
            <w:pPr>
              <w:jc w:val="center"/>
              <w:rPr>
                <w:rFonts w:hint="eastAsia" w:ascii="宋体" w:hAnsi="宋体" w:eastAsia="宋体"/>
                <w:sz w:val="18"/>
                <w:szCs w:val="18"/>
              </w:rPr>
            </w:pPr>
          </w:p>
        </w:tc>
        <w:tc>
          <w:tcPr>
            <w:tcW w:w="2126" w:type="dxa"/>
            <w:vAlign w:val="center"/>
          </w:tcPr>
          <w:p w14:paraId="5D7AFBFB">
            <w:pPr>
              <w:jc w:val="center"/>
              <w:rPr>
                <w:rFonts w:hint="eastAsia" w:ascii="宋体" w:hAnsi="宋体" w:eastAsia="宋体"/>
                <w:sz w:val="18"/>
                <w:szCs w:val="18"/>
              </w:rPr>
            </w:pPr>
            <w:r>
              <w:rPr>
                <w:rFonts w:hint="eastAsia" w:ascii="宋体" w:hAnsi="宋体" w:eastAsia="宋体"/>
                <w:sz w:val="18"/>
                <w:szCs w:val="18"/>
              </w:rPr>
              <w:t>工艺条件</w:t>
            </w:r>
          </w:p>
        </w:tc>
        <w:tc>
          <w:tcPr>
            <w:tcW w:w="5103" w:type="dxa"/>
            <w:vAlign w:val="center"/>
          </w:tcPr>
          <w:p w14:paraId="5221AF50">
            <w:pPr>
              <w:widowControl/>
              <w:jc w:val="left"/>
              <w:rPr>
                <w:rFonts w:hint="eastAsia" w:ascii="宋体" w:hAnsi="宋体" w:eastAsia="宋体"/>
                <w:sz w:val="18"/>
                <w:szCs w:val="18"/>
              </w:rPr>
            </w:pPr>
            <w:r>
              <w:rPr>
                <w:rStyle w:val="7"/>
                <w:rFonts w:hint="default" w:ascii="宋体" w:hAnsi="宋体" w:eastAsia="宋体"/>
                <w:sz w:val="18"/>
                <w:szCs w:val="18"/>
              </w:rPr>
              <w:t>作业条件的变更，如：缠绕膜层数、时长、拉力等</w:t>
            </w:r>
          </w:p>
        </w:tc>
        <w:tc>
          <w:tcPr>
            <w:tcW w:w="1134" w:type="dxa"/>
            <w:vAlign w:val="center"/>
          </w:tcPr>
          <w:p w14:paraId="714F75D0">
            <w:pPr>
              <w:spacing w:line="360" w:lineRule="auto"/>
              <w:jc w:val="center"/>
              <w:rPr>
                <w:rFonts w:hint="eastAsia" w:ascii="宋体" w:hAnsi="宋体" w:eastAsia="宋体"/>
                <w:sz w:val="18"/>
                <w:szCs w:val="18"/>
              </w:rPr>
            </w:pPr>
            <w:r>
              <w:rPr>
                <w:rFonts w:hint="eastAsia" w:ascii="宋体" w:hAnsi="宋体" w:eastAsia="宋体"/>
                <w:sz w:val="18"/>
                <w:szCs w:val="18"/>
              </w:rPr>
              <w:t>重大</w:t>
            </w:r>
          </w:p>
        </w:tc>
      </w:tr>
      <w:tr w14:paraId="00CA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56" w:type="dxa"/>
            <w:vMerge w:val="continue"/>
            <w:vAlign w:val="center"/>
          </w:tcPr>
          <w:p w14:paraId="727302EF">
            <w:pPr>
              <w:spacing w:line="360" w:lineRule="auto"/>
              <w:jc w:val="center"/>
              <w:rPr>
                <w:rFonts w:hint="eastAsia" w:ascii="宋体" w:hAnsi="宋体" w:eastAsia="宋体"/>
                <w:sz w:val="18"/>
                <w:szCs w:val="18"/>
              </w:rPr>
            </w:pPr>
          </w:p>
        </w:tc>
        <w:tc>
          <w:tcPr>
            <w:tcW w:w="1666" w:type="dxa"/>
            <w:vMerge w:val="continue"/>
            <w:vAlign w:val="center"/>
          </w:tcPr>
          <w:p w14:paraId="41447539">
            <w:pPr>
              <w:jc w:val="center"/>
              <w:rPr>
                <w:rFonts w:hint="eastAsia" w:ascii="宋体" w:hAnsi="宋体" w:eastAsia="宋体"/>
                <w:sz w:val="18"/>
                <w:szCs w:val="18"/>
              </w:rPr>
            </w:pPr>
          </w:p>
        </w:tc>
        <w:tc>
          <w:tcPr>
            <w:tcW w:w="2126" w:type="dxa"/>
            <w:vAlign w:val="center"/>
          </w:tcPr>
          <w:p w14:paraId="7A51E2D8">
            <w:pPr>
              <w:jc w:val="center"/>
              <w:rPr>
                <w:rFonts w:hint="eastAsia" w:ascii="宋体" w:hAnsi="宋体" w:eastAsia="宋体"/>
                <w:sz w:val="18"/>
                <w:szCs w:val="18"/>
              </w:rPr>
            </w:pPr>
            <w:r>
              <w:rPr>
                <w:rFonts w:hint="eastAsia" w:ascii="宋体" w:hAnsi="宋体" w:eastAsia="宋体"/>
                <w:sz w:val="18"/>
                <w:szCs w:val="18"/>
              </w:rPr>
              <w:t>制造环境</w:t>
            </w:r>
          </w:p>
        </w:tc>
        <w:tc>
          <w:tcPr>
            <w:tcW w:w="5103" w:type="dxa"/>
            <w:vAlign w:val="center"/>
          </w:tcPr>
          <w:p w14:paraId="32788230">
            <w:pPr>
              <w:widowControl/>
              <w:jc w:val="left"/>
              <w:rPr>
                <w:rFonts w:hint="eastAsia" w:ascii="宋体" w:hAnsi="宋体" w:eastAsia="宋体"/>
                <w:sz w:val="18"/>
                <w:szCs w:val="18"/>
              </w:rPr>
            </w:pPr>
            <w:r>
              <w:rPr>
                <w:rStyle w:val="7"/>
                <w:rFonts w:hint="default" w:ascii="宋体" w:hAnsi="宋体" w:eastAsia="宋体"/>
                <w:sz w:val="18"/>
                <w:szCs w:val="18"/>
              </w:rPr>
              <w:t>对关键产品特性没有影响的车间温度、湿度、清洁度的变更</w:t>
            </w:r>
          </w:p>
        </w:tc>
        <w:tc>
          <w:tcPr>
            <w:tcW w:w="1134" w:type="dxa"/>
            <w:vAlign w:val="center"/>
          </w:tcPr>
          <w:p w14:paraId="54273FE1">
            <w:pPr>
              <w:spacing w:line="360" w:lineRule="auto"/>
              <w:jc w:val="center"/>
              <w:rPr>
                <w:rFonts w:hint="eastAsia" w:ascii="宋体" w:hAnsi="宋体" w:eastAsia="宋体"/>
                <w:sz w:val="18"/>
                <w:szCs w:val="18"/>
              </w:rPr>
            </w:pPr>
            <w:r>
              <w:rPr>
                <w:rFonts w:hint="eastAsia" w:ascii="宋体" w:hAnsi="宋体" w:eastAsia="宋体"/>
                <w:sz w:val="18"/>
                <w:szCs w:val="18"/>
              </w:rPr>
              <w:t>简易</w:t>
            </w:r>
          </w:p>
        </w:tc>
      </w:tr>
      <w:tr w14:paraId="5697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56" w:type="dxa"/>
            <w:vMerge w:val="restart"/>
            <w:vAlign w:val="center"/>
          </w:tcPr>
          <w:p w14:paraId="3E968F64">
            <w:pPr>
              <w:spacing w:line="360" w:lineRule="auto"/>
              <w:jc w:val="center"/>
              <w:rPr>
                <w:rFonts w:hint="eastAsia" w:ascii="宋体" w:hAnsi="宋体" w:eastAsia="宋体"/>
                <w:sz w:val="18"/>
                <w:szCs w:val="18"/>
              </w:rPr>
            </w:pPr>
            <w:r>
              <w:rPr>
                <w:rFonts w:hint="eastAsia" w:ascii="宋体" w:hAnsi="宋体" w:eastAsia="宋体"/>
                <w:sz w:val="18"/>
                <w:szCs w:val="18"/>
              </w:rPr>
              <w:t>4</w:t>
            </w:r>
          </w:p>
        </w:tc>
        <w:tc>
          <w:tcPr>
            <w:tcW w:w="1666" w:type="dxa"/>
            <w:vMerge w:val="restart"/>
            <w:vAlign w:val="center"/>
          </w:tcPr>
          <w:p w14:paraId="3107BFE1">
            <w:pPr>
              <w:jc w:val="center"/>
              <w:rPr>
                <w:rFonts w:hint="eastAsia" w:ascii="宋体" w:hAnsi="宋体" w:eastAsia="宋体"/>
                <w:sz w:val="18"/>
                <w:szCs w:val="18"/>
              </w:rPr>
            </w:pPr>
            <w:r>
              <w:rPr>
                <w:rFonts w:hint="eastAsia" w:ascii="宋体" w:hAnsi="宋体" w:eastAsia="宋体"/>
                <w:sz w:val="18"/>
                <w:szCs w:val="18"/>
              </w:rPr>
              <w:t>仓储场所</w:t>
            </w:r>
          </w:p>
        </w:tc>
        <w:tc>
          <w:tcPr>
            <w:tcW w:w="2126" w:type="dxa"/>
            <w:vAlign w:val="center"/>
          </w:tcPr>
          <w:p w14:paraId="1158D855">
            <w:pPr>
              <w:jc w:val="center"/>
              <w:rPr>
                <w:rFonts w:hint="eastAsia" w:ascii="宋体" w:hAnsi="宋体" w:eastAsia="宋体"/>
                <w:sz w:val="18"/>
                <w:szCs w:val="18"/>
              </w:rPr>
            </w:pPr>
            <w:r>
              <w:rPr>
                <w:rFonts w:hint="eastAsia" w:ascii="宋体" w:hAnsi="宋体" w:eastAsia="宋体"/>
                <w:sz w:val="18"/>
                <w:szCs w:val="18"/>
              </w:rPr>
              <w:t>公司名称变更</w:t>
            </w:r>
          </w:p>
        </w:tc>
        <w:tc>
          <w:tcPr>
            <w:tcW w:w="5103" w:type="dxa"/>
            <w:vAlign w:val="center"/>
          </w:tcPr>
          <w:p w14:paraId="186FF432">
            <w:pPr>
              <w:widowControl/>
              <w:jc w:val="left"/>
              <w:rPr>
                <w:rStyle w:val="7"/>
                <w:rFonts w:hint="default" w:ascii="宋体" w:hAnsi="宋体" w:eastAsia="宋体"/>
                <w:sz w:val="18"/>
                <w:szCs w:val="18"/>
              </w:rPr>
            </w:pPr>
            <w:r>
              <w:rPr>
                <w:rStyle w:val="7"/>
                <w:rFonts w:hint="default" w:ascii="宋体" w:hAnsi="宋体" w:eastAsia="宋体"/>
                <w:sz w:val="18"/>
                <w:szCs w:val="18"/>
              </w:rPr>
              <w:t>因并购、剥离、经营范围等原因变更公司名称</w:t>
            </w:r>
          </w:p>
        </w:tc>
        <w:tc>
          <w:tcPr>
            <w:tcW w:w="1134" w:type="dxa"/>
            <w:vAlign w:val="center"/>
          </w:tcPr>
          <w:p w14:paraId="19F7E84D">
            <w:pPr>
              <w:spacing w:line="360" w:lineRule="auto"/>
              <w:jc w:val="center"/>
              <w:rPr>
                <w:rFonts w:hint="eastAsia" w:ascii="宋体" w:hAnsi="宋体" w:eastAsia="宋体"/>
                <w:sz w:val="18"/>
                <w:szCs w:val="18"/>
              </w:rPr>
            </w:pPr>
            <w:r>
              <w:rPr>
                <w:rFonts w:hint="eastAsia" w:ascii="宋体" w:hAnsi="宋体" w:eastAsia="宋体"/>
                <w:sz w:val="18"/>
                <w:szCs w:val="18"/>
              </w:rPr>
              <w:t>一般</w:t>
            </w:r>
          </w:p>
        </w:tc>
      </w:tr>
      <w:tr w14:paraId="0667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56" w:type="dxa"/>
            <w:vMerge w:val="continue"/>
            <w:vAlign w:val="center"/>
          </w:tcPr>
          <w:p w14:paraId="5178ACED">
            <w:pPr>
              <w:spacing w:line="360" w:lineRule="auto"/>
              <w:jc w:val="center"/>
              <w:rPr>
                <w:rFonts w:hint="eastAsia" w:ascii="宋体" w:hAnsi="宋体" w:eastAsia="宋体"/>
                <w:sz w:val="18"/>
                <w:szCs w:val="18"/>
              </w:rPr>
            </w:pPr>
          </w:p>
        </w:tc>
        <w:tc>
          <w:tcPr>
            <w:tcW w:w="1666" w:type="dxa"/>
            <w:vMerge w:val="continue"/>
            <w:vAlign w:val="center"/>
          </w:tcPr>
          <w:p w14:paraId="1D8EE2DB">
            <w:pPr>
              <w:jc w:val="center"/>
              <w:rPr>
                <w:rFonts w:hint="eastAsia" w:ascii="宋体" w:hAnsi="宋体" w:eastAsia="宋体"/>
                <w:sz w:val="18"/>
                <w:szCs w:val="18"/>
              </w:rPr>
            </w:pPr>
          </w:p>
        </w:tc>
        <w:tc>
          <w:tcPr>
            <w:tcW w:w="2126" w:type="dxa"/>
            <w:vAlign w:val="center"/>
          </w:tcPr>
          <w:p w14:paraId="0DA1AE79">
            <w:pPr>
              <w:jc w:val="center"/>
              <w:rPr>
                <w:rFonts w:hint="eastAsia" w:ascii="宋体" w:hAnsi="宋体" w:eastAsia="宋体"/>
                <w:sz w:val="18"/>
                <w:szCs w:val="18"/>
              </w:rPr>
            </w:pPr>
            <w:r>
              <w:rPr>
                <w:rFonts w:hint="eastAsia" w:ascii="宋体" w:hAnsi="宋体" w:eastAsia="宋体"/>
                <w:sz w:val="18"/>
                <w:szCs w:val="18"/>
              </w:rPr>
              <w:t>仓储区域改造升级</w:t>
            </w:r>
          </w:p>
        </w:tc>
        <w:tc>
          <w:tcPr>
            <w:tcW w:w="5103" w:type="dxa"/>
            <w:vAlign w:val="center"/>
          </w:tcPr>
          <w:p w14:paraId="0EAF134E">
            <w:pPr>
              <w:widowControl/>
              <w:jc w:val="left"/>
              <w:rPr>
                <w:rStyle w:val="7"/>
                <w:rFonts w:hint="default" w:ascii="宋体" w:hAnsi="宋体" w:eastAsia="宋体"/>
                <w:sz w:val="18"/>
                <w:szCs w:val="18"/>
              </w:rPr>
            </w:pPr>
            <w:r>
              <w:rPr>
                <w:rStyle w:val="7"/>
                <w:rFonts w:hint="default" w:ascii="宋体" w:hAnsi="宋体" w:eastAsia="宋体"/>
                <w:sz w:val="18"/>
                <w:szCs w:val="18"/>
              </w:rPr>
              <w:t>在原仓储范围内，对仓储设施进行改造、升级、转移</w:t>
            </w:r>
          </w:p>
        </w:tc>
        <w:tc>
          <w:tcPr>
            <w:tcW w:w="1134" w:type="dxa"/>
            <w:vAlign w:val="center"/>
          </w:tcPr>
          <w:p w14:paraId="6D84456A">
            <w:pPr>
              <w:spacing w:line="360" w:lineRule="auto"/>
              <w:jc w:val="center"/>
              <w:rPr>
                <w:rFonts w:hint="eastAsia" w:ascii="宋体" w:hAnsi="宋体" w:eastAsia="宋体"/>
                <w:sz w:val="18"/>
                <w:szCs w:val="18"/>
              </w:rPr>
            </w:pPr>
            <w:r>
              <w:rPr>
                <w:rFonts w:hint="eastAsia" w:ascii="宋体" w:hAnsi="宋体" w:eastAsia="宋体"/>
                <w:sz w:val="18"/>
                <w:szCs w:val="18"/>
              </w:rPr>
              <w:t>一般</w:t>
            </w:r>
          </w:p>
        </w:tc>
      </w:tr>
      <w:tr w14:paraId="5374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56" w:type="dxa"/>
            <w:vMerge w:val="continue"/>
            <w:vAlign w:val="center"/>
          </w:tcPr>
          <w:p w14:paraId="0E7181B7">
            <w:pPr>
              <w:spacing w:line="360" w:lineRule="auto"/>
              <w:jc w:val="center"/>
              <w:rPr>
                <w:rFonts w:hint="eastAsia" w:ascii="宋体" w:hAnsi="宋体" w:eastAsia="宋体"/>
                <w:sz w:val="18"/>
                <w:szCs w:val="18"/>
              </w:rPr>
            </w:pPr>
          </w:p>
        </w:tc>
        <w:tc>
          <w:tcPr>
            <w:tcW w:w="1666" w:type="dxa"/>
            <w:vMerge w:val="continue"/>
            <w:vAlign w:val="center"/>
          </w:tcPr>
          <w:p w14:paraId="338A044D">
            <w:pPr>
              <w:jc w:val="center"/>
              <w:rPr>
                <w:rFonts w:hint="eastAsia" w:ascii="宋体" w:hAnsi="宋体" w:eastAsia="宋体"/>
                <w:sz w:val="18"/>
                <w:szCs w:val="18"/>
              </w:rPr>
            </w:pPr>
          </w:p>
        </w:tc>
        <w:tc>
          <w:tcPr>
            <w:tcW w:w="2126" w:type="dxa"/>
            <w:vAlign w:val="center"/>
          </w:tcPr>
          <w:p w14:paraId="50D3C800">
            <w:pPr>
              <w:jc w:val="center"/>
              <w:rPr>
                <w:rFonts w:hint="eastAsia" w:ascii="宋体" w:hAnsi="宋体" w:eastAsia="宋体"/>
                <w:sz w:val="18"/>
                <w:szCs w:val="18"/>
              </w:rPr>
            </w:pPr>
            <w:r>
              <w:rPr>
                <w:rFonts w:hint="eastAsia" w:ascii="宋体" w:hAnsi="宋体" w:eastAsia="宋体"/>
                <w:sz w:val="18"/>
                <w:szCs w:val="18"/>
              </w:rPr>
              <w:t>仓储地址变更</w:t>
            </w:r>
          </w:p>
        </w:tc>
        <w:tc>
          <w:tcPr>
            <w:tcW w:w="5103" w:type="dxa"/>
            <w:vAlign w:val="center"/>
          </w:tcPr>
          <w:p w14:paraId="67AC9385">
            <w:pPr>
              <w:widowControl/>
              <w:jc w:val="left"/>
              <w:rPr>
                <w:rStyle w:val="7"/>
                <w:rFonts w:hint="default" w:ascii="宋体" w:hAnsi="宋体" w:eastAsia="宋体"/>
                <w:sz w:val="18"/>
                <w:szCs w:val="18"/>
              </w:rPr>
            </w:pPr>
            <w:r>
              <w:rPr>
                <w:rStyle w:val="7"/>
                <w:rFonts w:hint="default" w:ascii="宋体" w:hAnsi="宋体" w:eastAsia="宋体"/>
                <w:sz w:val="18"/>
                <w:szCs w:val="18"/>
              </w:rPr>
              <w:t>仓储服务场地切换为其他基地或搬迁到新地址</w:t>
            </w:r>
          </w:p>
        </w:tc>
        <w:tc>
          <w:tcPr>
            <w:tcW w:w="1134" w:type="dxa"/>
            <w:vAlign w:val="center"/>
          </w:tcPr>
          <w:p w14:paraId="62A44841">
            <w:pPr>
              <w:spacing w:line="360" w:lineRule="auto"/>
              <w:jc w:val="center"/>
              <w:rPr>
                <w:rFonts w:hint="eastAsia" w:ascii="宋体" w:hAnsi="宋体" w:eastAsia="宋体"/>
                <w:sz w:val="18"/>
                <w:szCs w:val="18"/>
              </w:rPr>
            </w:pPr>
            <w:r>
              <w:rPr>
                <w:rFonts w:hint="eastAsia" w:ascii="宋体" w:hAnsi="宋体" w:eastAsia="宋体"/>
                <w:sz w:val="18"/>
                <w:szCs w:val="18"/>
              </w:rPr>
              <w:t>重大</w:t>
            </w:r>
          </w:p>
        </w:tc>
      </w:tr>
      <w:tr w14:paraId="7F8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6" w:type="dxa"/>
            <w:vMerge w:val="restart"/>
            <w:vAlign w:val="center"/>
          </w:tcPr>
          <w:p w14:paraId="47817EAD">
            <w:pPr>
              <w:spacing w:line="360" w:lineRule="auto"/>
              <w:jc w:val="center"/>
              <w:rPr>
                <w:rFonts w:hint="eastAsia" w:ascii="宋体" w:hAnsi="宋体" w:eastAsia="宋体"/>
                <w:sz w:val="18"/>
                <w:szCs w:val="18"/>
              </w:rPr>
            </w:pPr>
            <w:r>
              <w:rPr>
                <w:rFonts w:ascii="宋体" w:hAnsi="宋体" w:eastAsia="宋体"/>
                <w:sz w:val="18"/>
                <w:szCs w:val="18"/>
              </w:rPr>
              <w:t>4</w:t>
            </w:r>
          </w:p>
        </w:tc>
        <w:tc>
          <w:tcPr>
            <w:tcW w:w="1666" w:type="dxa"/>
            <w:vMerge w:val="restart"/>
            <w:vAlign w:val="center"/>
          </w:tcPr>
          <w:p w14:paraId="4DE59C92">
            <w:pPr>
              <w:jc w:val="center"/>
              <w:rPr>
                <w:rFonts w:hint="eastAsia" w:ascii="宋体" w:hAnsi="宋体" w:eastAsia="宋体"/>
                <w:sz w:val="18"/>
                <w:szCs w:val="18"/>
              </w:rPr>
            </w:pPr>
            <w:r>
              <w:rPr>
                <w:rFonts w:hint="eastAsia" w:ascii="宋体" w:hAnsi="宋体" w:eastAsia="宋体"/>
                <w:sz w:val="18"/>
                <w:szCs w:val="18"/>
              </w:rPr>
              <w:t>检验过程变更</w:t>
            </w:r>
          </w:p>
        </w:tc>
        <w:tc>
          <w:tcPr>
            <w:tcW w:w="2126" w:type="dxa"/>
            <w:vAlign w:val="center"/>
          </w:tcPr>
          <w:p w14:paraId="7CB47230">
            <w:pPr>
              <w:jc w:val="center"/>
              <w:rPr>
                <w:rFonts w:hint="eastAsia" w:ascii="宋体" w:hAnsi="宋体" w:eastAsia="宋体"/>
                <w:sz w:val="18"/>
                <w:szCs w:val="18"/>
              </w:rPr>
            </w:pPr>
            <w:r>
              <w:rPr>
                <w:rFonts w:hint="eastAsia" w:ascii="宋体" w:hAnsi="宋体" w:eastAsia="宋体"/>
                <w:sz w:val="18"/>
                <w:szCs w:val="18"/>
              </w:rPr>
              <w:t>检查标准</w:t>
            </w:r>
          </w:p>
        </w:tc>
        <w:tc>
          <w:tcPr>
            <w:tcW w:w="5103" w:type="dxa"/>
            <w:vAlign w:val="center"/>
          </w:tcPr>
          <w:p w14:paraId="318DA3E2">
            <w:pPr>
              <w:jc w:val="left"/>
              <w:rPr>
                <w:rFonts w:hint="eastAsia" w:ascii="宋体" w:hAnsi="宋体" w:eastAsia="宋体"/>
                <w:sz w:val="18"/>
                <w:szCs w:val="18"/>
              </w:rPr>
            </w:pPr>
            <w:r>
              <w:rPr>
                <w:rFonts w:hint="eastAsia" w:ascii="宋体" w:hAnsi="宋体" w:eastAsia="宋体"/>
                <w:sz w:val="18"/>
                <w:szCs w:val="18"/>
              </w:rPr>
              <w:t>判定标准的改变</w:t>
            </w:r>
          </w:p>
        </w:tc>
        <w:tc>
          <w:tcPr>
            <w:tcW w:w="1134" w:type="dxa"/>
            <w:vAlign w:val="center"/>
          </w:tcPr>
          <w:p w14:paraId="21D4E61A">
            <w:pPr>
              <w:spacing w:line="360" w:lineRule="auto"/>
              <w:jc w:val="center"/>
              <w:rPr>
                <w:rFonts w:hint="eastAsia" w:ascii="宋体" w:hAnsi="宋体" w:eastAsia="宋体"/>
                <w:sz w:val="18"/>
                <w:szCs w:val="18"/>
              </w:rPr>
            </w:pPr>
            <w:r>
              <w:rPr>
                <w:rFonts w:hint="eastAsia" w:ascii="宋体" w:hAnsi="宋体" w:eastAsia="宋体"/>
                <w:sz w:val="18"/>
                <w:szCs w:val="18"/>
              </w:rPr>
              <w:t>重大</w:t>
            </w:r>
          </w:p>
        </w:tc>
      </w:tr>
      <w:tr w14:paraId="6CE2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56" w:type="dxa"/>
            <w:vMerge w:val="continue"/>
            <w:vAlign w:val="center"/>
          </w:tcPr>
          <w:p w14:paraId="5E7BC91F">
            <w:pPr>
              <w:spacing w:line="360" w:lineRule="auto"/>
              <w:jc w:val="center"/>
              <w:rPr>
                <w:rFonts w:hint="eastAsia" w:ascii="宋体" w:hAnsi="宋体" w:eastAsia="宋体"/>
                <w:sz w:val="18"/>
                <w:szCs w:val="18"/>
              </w:rPr>
            </w:pPr>
          </w:p>
        </w:tc>
        <w:tc>
          <w:tcPr>
            <w:tcW w:w="1666" w:type="dxa"/>
            <w:vMerge w:val="continue"/>
            <w:vAlign w:val="center"/>
          </w:tcPr>
          <w:p w14:paraId="4DDF964F">
            <w:pPr>
              <w:jc w:val="center"/>
              <w:rPr>
                <w:rFonts w:hint="eastAsia" w:ascii="宋体" w:hAnsi="宋体" w:eastAsia="宋体"/>
                <w:sz w:val="18"/>
                <w:szCs w:val="18"/>
              </w:rPr>
            </w:pPr>
          </w:p>
        </w:tc>
        <w:tc>
          <w:tcPr>
            <w:tcW w:w="2126" w:type="dxa"/>
            <w:vAlign w:val="center"/>
          </w:tcPr>
          <w:p w14:paraId="15962BB2">
            <w:pPr>
              <w:jc w:val="center"/>
              <w:rPr>
                <w:rFonts w:hint="eastAsia" w:ascii="宋体" w:hAnsi="宋体" w:eastAsia="宋体"/>
                <w:sz w:val="18"/>
                <w:szCs w:val="18"/>
              </w:rPr>
            </w:pPr>
            <w:r>
              <w:rPr>
                <w:rFonts w:hint="eastAsia" w:ascii="宋体" w:hAnsi="宋体" w:eastAsia="宋体"/>
                <w:sz w:val="18"/>
                <w:szCs w:val="18"/>
              </w:rPr>
              <w:t>检查项目</w:t>
            </w:r>
          </w:p>
        </w:tc>
        <w:tc>
          <w:tcPr>
            <w:tcW w:w="5103" w:type="dxa"/>
            <w:vAlign w:val="center"/>
          </w:tcPr>
          <w:p w14:paraId="3D16FAB8">
            <w:pPr>
              <w:rPr>
                <w:rFonts w:hint="eastAsia" w:ascii="宋体" w:hAnsi="宋体" w:eastAsia="宋体"/>
                <w:sz w:val="18"/>
                <w:szCs w:val="18"/>
              </w:rPr>
            </w:pPr>
            <w:r>
              <w:rPr>
                <w:rFonts w:hint="eastAsia" w:ascii="宋体" w:hAnsi="宋体" w:eastAsia="宋体"/>
                <w:sz w:val="18"/>
                <w:szCs w:val="18"/>
              </w:rPr>
              <w:t>检查项目的删除或无检查化（作业指导书内要求检查的内容变更）</w:t>
            </w:r>
          </w:p>
        </w:tc>
        <w:tc>
          <w:tcPr>
            <w:tcW w:w="1134" w:type="dxa"/>
            <w:vAlign w:val="center"/>
          </w:tcPr>
          <w:p w14:paraId="359D4162">
            <w:pPr>
              <w:spacing w:line="360" w:lineRule="auto"/>
              <w:jc w:val="center"/>
              <w:rPr>
                <w:rFonts w:hint="eastAsia" w:ascii="宋体" w:hAnsi="宋体" w:eastAsia="宋体"/>
                <w:sz w:val="18"/>
                <w:szCs w:val="18"/>
              </w:rPr>
            </w:pPr>
            <w:r>
              <w:rPr>
                <w:rFonts w:hint="eastAsia" w:ascii="宋体" w:hAnsi="宋体" w:eastAsia="宋体"/>
                <w:sz w:val="18"/>
                <w:szCs w:val="18"/>
              </w:rPr>
              <w:t>重大</w:t>
            </w:r>
          </w:p>
        </w:tc>
      </w:tr>
      <w:tr w14:paraId="134C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56" w:type="dxa"/>
            <w:vMerge w:val="restart"/>
            <w:vAlign w:val="center"/>
          </w:tcPr>
          <w:p w14:paraId="2E8C7835">
            <w:pPr>
              <w:spacing w:line="360" w:lineRule="auto"/>
              <w:jc w:val="center"/>
              <w:rPr>
                <w:rFonts w:hint="eastAsia" w:ascii="宋体" w:hAnsi="宋体" w:eastAsia="宋体"/>
                <w:sz w:val="18"/>
                <w:szCs w:val="18"/>
              </w:rPr>
            </w:pPr>
            <w:r>
              <w:rPr>
                <w:rFonts w:ascii="宋体" w:hAnsi="宋体" w:eastAsia="宋体"/>
                <w:sz w:val="18"/>
                <w:szCs w:val="18"/>
              </w:rPr>
              <w:t>5</w:t>
            </w:r>
          </w:p>
        </w:tc>
        <w:tc>
          <w:tcPr>
            <w:tcW w:w="1666" w:type="dxa"/>
            <w:vMerge w:val="restart"/>
            <w:vAlign w:val="center"/>
          </w:tcPr>
          <w:p w14:paraId="5DEC548E">
            <w:pPr>
              <w:jc w:val="center"/>
              <w:rPr>
                <w:rFonts w:hint="eastAsia" w:ascii="宋体" w:hAnsi="宋体" w:eastAsia="宋体"/>
                <w:sz w:val="18"/>
                <w:szCs w:val="18"/>
              </w:rPr>
            </w:pPr>
            <w:r>
              <w:rPr>
                <w:rFonts w:hint="eastAsia" w:ascii="宋体" w:hAnsi="宋体" w:eastAsia="宋体"/>
                <w:sz w:val="18"/>
                <w:szCs w:val="18"/>
              </w:rPr>
              <w:t>仓储变更</w:t>
            </w:r>
          </w:p>
        </w:tc>
        <w:tc>
          <w:tcPr>
            <w:tcW w:w="2126" w:type="dxa"/>
            <w:vAlign w:val="center"/>
          </w:tcPr>
          <w:p w14:paraId="4E74BA7B">
            <w:pPr>
              <w:jc w:val="center"/>
              <w:rPr>
                <w:rFonts w:hint="eastAsia" w:ascii="宋体" w:hAnsi="宋体" w:eastAsia="宋体"/>
                <w:sz w:val="18"/>
                <w:szCs w:val="18"/>
              </w:rPr>
            </w:pPr>
            <w:r>
              <w:rPr>
                <w:rFonts w:hint="eastAsia" w:ascii="宋体" w:hAnsi="宋体" w:eastAsia="宋体"/>
                <w:sz w:val="18"/>
                <w:szCs w:val="18"/>
              </w:rPr>
              <w:t>场所</w:t>
            </w:r>
          </w:p>
        </w:tc>
        <w:tc>
          <w:tcPr>
            <w:tcW w:w="5103" w:type="dxa"/>
            <w:vAlign w:val="center"/>
          </w:tcPr>
          <w:p w14:paraId="6F22D3ED">
            <w:pPr>
              <w:rPr>
                <w:rFonts w:hint="eastAsia" w:ascii="宋体" w:hAnsi="宋体" w:eastAsia="宋体"/>
                <w:sz w:val="18"/>
                <w:szCs w:val="18"/>
              </w:rPr>
            </w:pPr>
            <w:r>
              <w:rPr>
                <w:rFonts w:hint="eastAsia" w:ascii="宋体" w:hAnsi="宋体" w:eastAsia="宋体"/>
                <w:sz w:val="18"/>
                <w:szCs w:val="18"/>
              </w:rPr>
              <w:t>原材料、半成品和成品贮存场所，且对关键产品特性没有影响的</w:t>
            </w:r>
          </w:p>
        </w:tc>
        <w:tc>
          <w:tcPr>
            <w:tcW w:w="1134" w:type="dxa"/>
            <w:vAlign w:val="center"/>
          </w:tcPr>
          <w:p w14:paraId="262923BC">
            <w:pPr>
              <w:spacing w:line="360" w:lineRule="auto"/>
              <w:jc w:val="center"/>
              <w:rPr>
                <w:rFonts w:hint="eastAsia" w:ascii="宋体" w:hAnsi="宋体" w:eastAsia="宋体"/>
                <w:sz w:val="18"/>
                <w:szCs w:val="18"/>
              </w:rPr>
            </w:pPr>
            <w:r>
              <w:rPr>
                <w:rFonts w:hint="eastAsia" w:ascii="宋体" w:hAnsi="宋体" w:eastAsia="宋体"/>
                <w:sz w:val="18"/>
                <w:szCs w:val="18"/>
              </w:rPr>
              <w:t>一般</w:t>
            </w:r>
          </w:p>
        </w:tc>
      </w:tr>
      <w:tr w14:paraId="0774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56" w:type="dxa"/>
            <w:vMerge w:val="continue"/>
          </w:tcPr>
          <w:p w14:paraId="7ED05E1D">
            <w:pPr>
              <w:spacing w:line="360" w:lineRule="auto"/>
              <w:rPr>
                <w:rFonts w:hint="eastAsia" w:ascii="宋体" w:hAnsi="宋体" w:eastAsia="宋体"/>
                <w:sz w:val="18"/>
                <w:szCs w:val="18"/>
              </w:rPr>
            </w:pPr>
          </w:p>
        </w:tc>
        <w:tc>
          <w:tcPr>
            <w:tcW w:w="1666" w:type="dxa"/>
            <w:vMerge w:val="continue"/>
            <w:vAlign w:val="center"/>
          </w:tcPr>
          <w:p w14:paraId="1AB76B69">
            <w:pPr>
              <w:jc w:val="center"/>
              <w:rPr>
                <w:rFonts w:hint="eastAsia" w:ascii="宋体" w:hAnsi="宋体" w:eastAsia="宋体"/>
                <w:sz w:val="18"/>
                <w:szCs w:val="18"/>
              </w:rPr>
            </w:pPr>
          </w:p>
        </w:tc>
        <w:tc>
          <w:tcPr>
            <w:tcW w:w="2126" w:type="dxa"/>
            <w:vAlign w:val="center"/>
          </w:tcPr>
          <w:p w14:paraId="09A04BC7">
            <w:pPr>
              <w:jc w:val="center"/>
              <w:rPr>
                <w:rFonts w:hint="eastAsia" w:ascii="宋体" w:hAnsi="宋体" w:eastAsia="宋体"/>
                <w:sz w:val="18"/>
                <w:szCs w:val="18"/>
              </w:rPr>
            </w:pPr>
            <w:r>
              <w:rPr>
                <w:rFonts w:hint="eastAsia" w:ascii="宋体" w:hAnsi="宋体" w:eastAsia="宋体"/>
                <w:sz w:val="18"/>
                <w:szCs w:val="18"/>
              </w:rPr>
              <w:t>保管和保存环境</w:t>
            </w:r>
          </w:p>
        </w:tc>
        <w:tc>
          <w:tcPr>
            <w:tcW w:w="5103" w:type="dxa"/>
            <w:vAlign w:val="center"/>
          </w:tcPr>
          <w:p w14:paraId="6587C059">
            <w:pPr>
              <w:rPr>
                <w:rFonts w:hint="eastAsia" w:ascii="宋体" w:hAnsi="宋体" w:eastAsia="宋体"/>
                <w:sz w:val="18"/>
                <w:szCs w:val="18"/>
              </w:rPr>
            </w:pPr>
            <w:r>
              <w:rPr>
                <w:rFonts w:hint="eastAsia" w:ascii="宋体" w:hAnsi="宋体" w:eastAsia="宋体"/>
                <w:sz w:val="18"/>
                <w:szCs w:val="18"/>
              </w:rPr>
              <w:t>经典、适度、温度、照明、气体、防尘等的环境变更</w:t>
            </w:r>
          </w:p>
        </w:tc>
        <w:tc>
          <w:tcPr>
            <w:tcW w:w="1134" w:type="dxa"/>
            <w:vAlign w:val="center"/>
          </w:tcPr>
          <w:p w14:paraId="23EAF2DF">
            <w:pPr>
              <w:spacing w:line="360" w:lineRule="auto"/>
              <w:jc w:val="center"/>
              <w:rPr>
                <w:rFonts w:hint="eastAsia" w:ascii="宋体" w:hAnsi="宋体" w:eastAsia="宋体"/>
                <w:sz w:val="18"/>
                <w:szCs w:val="18"/>
              </w:rPr>
            </w:pPr>
            <w:r>
              <w:rPr>
                <w:rFonts w:hint="eastAsia" w:ascii="宋体" w:hAnsi="宋体" w:eastAsia="宋体"/>
                <w:sz w:val="18"/>
                <w:szCs w:val="18"/>
              </w:rPr>
              <w:t>一般</w:t>
            </w:r>
          </w:p>
        </w:tc>
      </w:tr>
      <w:tr w14:paraId="71DA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56" w:type="dxa"/>
            <w:vMerge w:val="restart"/>
            <w:vAlign w:val="center"/>
          </w:tcPr>
          <w:p w14:paraId="5C8A8876">
            <w:pPr>
              <w:spacing w:line="360" w:lineRule="auto"/>
              <w:jc w:val="center"/>
              <w:rPr>
                <w:rFonts w:hint="eastAsia" w:ascii="宋体" w:hAnsi="宋体" w:eastAsia="宋体"/>
                <w:sz w:val="18"/>
                <w:szCs w:val="18"/>
              </w:rPr>
            </w:pPr>
            <w:r>
              <w:rPr>
                <w:rFonts w:ascii="宋体" w:hAnsi="宋体" w:eastAsia="宋体"/>
                <w:sz w:val="18"/>
                <w:szCs w:val="18"/>
              </w:rPr>
              <w:t>6</w:t>
            </w:r>
          </w:p>
        </w:tc>
        <w:tc>
          <w:tcPr>
            <w:tcW w:w="1666" w:type="dxa"/>
            <w:vMerge w:val="restart"/>
            <w:vAlign w:val="center"/>
          </w:tcPr>
          <w:p w14:paraId="6301CF3C">
            <w:pPr>
              <w:jc w:val="center"/>
              <w:rPr>
                <w:rFonts w:hint="eastAsia" w:ascii="宋体" w:hAnsi="宋体" w:eastAsia="宋体"/>
                <w:sz w:val="18"/>
                <w:szCs w:val="18"/>
              </w:rPr>
            </w:pPr>
            <w:r>
              <w:rPr>
                <w:rFonts w:hint="eastAsia" w:ascii="宋体" w:hAnsi="宋体" w:eastAsia="宋体"/>
                <w:sz w:val="18"/>
                <w:szCs w:val="18"/>
              </w:rPr>
              <w:t>运输变更</w:t>
            </w:r>
          </w:p>
          <w:p w14:paraId="49A206CF">
            <w:pPr>
              <w:jc w:val="center"/>
              <w:rPr>
                <w:rFonts w:hint="eastAsia" w:ascii="宋体" w:hAnsi="宋体" w:eastAsia="宋体"/>
                <w:sz w:val="18"/>
                <w:szCs w:val="18"/>
              </w:rPr>
            </w:pPr>
            <w:bookmarkStart w:id="0" w:name="_GoBack"/>
            <w:bookmarkEnd w:id="0"/>
          </w:p>
        </w:tc>
        <w:tc>
          <w:tcPr>
            <w:tcW w:w="2126" w:type="dxa"/>
            <w:vAlign w:val="center"/>
          </w:tcPr>
          <w:p w14:paraId="67EC1B46">
            <w:pPr>
              <w:jc w:val="center"/>
              <w:rPr>
                <w:rFonts w:hint="eastAsia" w:ascii="宋体" w:hAnsi="宋体" w:eastAsia="宋体"/>
                <w:sz w:val="18"/>
                <w:szCs w:val="18"/>
              </w:rPr>
            </w:pPr>
            <w:r>
              <w:rPr>
                <w:rFonts w:hint="eastAsia" w:ascii="宋体" w:hAnsi="宋体" w:eastAsia="宋体"/>
                <w:sz w:val="18"/>
                <w:szCs w:val="18"/>
              </w:rPr>
              <w:t>车辆类型变更</w:t>
            </w:r>
          </w:p>
        </w:tc>
        <w:tc>
          <w:tcPr>
            <w:tcW w:w="5103" w:type="dxa"/>
            <w:vAlign w:val="center"/>
          </w:tcPr>
          <w:p w14:paraId="67DF31BB">
            <w:pPr>
              <w:rPr>
                <w:rFonts w:hint="eastAsia" w:ascii="宋体" w:hAnsi="宋体" w:eastAsia="宋体"/>
                <w:sz w:val="18"/>
                <w:szCs w:val="18"/>
              </w:rPr>
            </w:pPr>
            <w:r>
              <w:rPr>
                <w:rFonts w:hint="eastAsia" w:ascii="宋体" w:hAnsi="宋体" w:eastAsia="宋体"/>
                <w:sz w:val="18"/>
                <w:szCs w:val="18"/>
              </w:rPr>
              <w:t>如高栏货车、平板货车、厢式货车等</w:t>
            </w:r>
          </w:p>
        </w:tc>
        <w:tc>
          <w:tcPr>
            <w:tcW w:w="1134" w:type="dxa"/>
            <w:vAlign w:val="center"/>
          </w:tcPr>
          <w:p w14:paraId="7883C2F3">
            <w:pPr>
              <w:spacing w:line="360" w:lineRule="auto"/>
              <w:jc w:val="center"/>
              <w:rPr>
                <w:rFonts w:hint="eastAsia" w:ascii="宋体" w:hAnsi="宋体" w:eastAsia="宋体"/>
                <w:sz w:val="18"/>
                <w:szCs w:val="18"/>
              </w:rPr>
            </w:pPr>
            <w:r>
              <w:rPr>
                <w:rFonts w:hint="eastAsia" w:ascii="宋体" w:hAnsi="宋体" w:eastAsia="宋体"/>
                <w:sz w:val="18"/>
                <w:szCs w:val="18"/>
              </w:rPr>
              <w:t>一般</w:t>
            </w:r>
          </w:p>
        </w:tc>
      </w:tr>
      <w:tr w14:paraId="327F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56" w:type="dxa"/>
            <w:vMerge w:val="continue"/>
          </w:tcPr>
          <w:p w14:paraId="5A2E2692">
            <w:pPr>
              <w:spacing w:line="360" w:lineRule="auto"/>
              <w:rPr>
                <w:rFonts w:hint="eastAsia" w:ascii="宋体" w:hAnsi="宋体" w:eastAsia="宋体"/>
                <w:sz w:val="18"/>
                <w:szCs w:val="18"/>
              </w:rPr>
            </w:pPr>
          </w:p>
        </w:tc>
        <w:tc>
          <w:tcPr>
            <w:tcW w:w="1666" w:type="dxa"/>
            <w:vMerge w:val="continue"/>
            <w:vAlign w:val="center"/>
          </w:tcPr>
          <w:p w14:paraId="378A9F95">
            <w:pPr>
              <w:jc w:val="center"/>
              <w:rPr>
                <w:rFonts w:hint="eastAsia" w:ascii="宋体" w:hAnsi="宋体" w:eastAsia="宋体"/>
                <w:sz w:val="18"/>
                <w:szCs w:val="18"/>
              </w:rPr>
            </w:pPr>
          </w:p>
        </w:tc>
        <w:tc>
          <w:tcPr>
            <w:tcW w:w="2126" w:type="dxa"/>
            <w:vMerge w:val="restart"/>
            <w:vAlign w:val="center"/>
          </w:tcPr>
          <w:p w14:paraId="5C18EA39">
            <w:pPr>
              <w:jc w:val="center"/>
              <w:rPr>
                <w:rFonts w:hint="eastAsia" w:ascii="宋体" w:hAnsi="宋体" w:eastAsia="宋体"/>
                <w:sz w:val="18"/>
                <w:szCs w:val="18"/>
              </w:rPr>
            </w:pPr>
            <w:r>
              <w:rPr>
                <w:rFonts w:hint="eastAsia" w:ascii="宋体" w:hAnsi="宋体" w:eastAsia="宋体"/>
                <w:sz w:val="18"/>
                <w:szCs w:val="18"/>
              </w:rPr>
              <w:t>产品防护变更</w:t>
            </w:r>
          </w:p>
        </w:tc>
        <w:tc>
          <w:tcPr>
            <w:tcW w:w="5103" w:type="dxa"/>
            <w:vAlign w:val="center"/>
          </w:tcPr>
          <w:p w14:paraId="42DE7768">
            <w:pPr>
              <w:rPr>
                <w:rFonts w:hint="eastAsia" w:ascii="宋体" w:hAnsi="宋体" w:eastAsia="宋体"/>
                <w:sz w:val="18"/>
                <w:szCs w:val="18"/>
              </w:rPr>
            </w:pPr>
            <w:r>
              <w:rPr>
                <w:rFonts w:hint="eastAsia" w:ascii="宋体" w:hAnsi="宋体" w:eastAsia="宋体"/>
                <w:sz w:val="18"/>
                <w:szCs w:val="18"/>
              </w:rPr>
              <w:t>防护作业及方式变更</w:t>
            </w:r>
          </w:p>
        </w:tc>
        <w:tc>
          <w:tcPr>
            <w:tcW w:w="1134" w:type="dxa"/>
            <w:vAlign w:val="center"/>
          </w:tcPr>
          <w:p w14:paraId="6B979D6E">
            <w:pPr>
              <w:spacing w:line="360" w:lineRule="auto"/>
              <w:jc w:val="center"/>
              <w:rPr>
                <w:rFonts w:hint="eastAsia" w:ascii="宋体" w:hAnsi="宋体" w:eastAsia="宋体"/>
                <w:sz w:val="18"/>
                <w:szCs w:val="18"/>
              </w:rPr>
            </w:pPr>
            <w:r>
              <w:rPr>
                <w:rFonts w:hint="eastAsia" w:ascii="宋体" w:hAnsi="宋体" w:eastAsia="宋体"/>
                <w:sz w:val="18"/>
                <w:szCs w:val="18"/>
              </w:rPr>
              <w:t>重大</w:t>
            </w:r>
          </w:p>
        </w:tc>
      </w:tr>
      <w:tr w14:paraId="7158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56" w:type="dxa"/>
            <w:vMerge w:val="continue"/>
          </w:tcPr>
          <w:p w14:paraId="1B888393">
            <w:pPr>
              <w:spacing w:line="360" w:lineRule="auto"/>
              <w:rPr>
                <w:rFonts w:hint="eastAsia" w:ascii="宋体" w:hAnsi="宋体" w:eastAsia="宋体"/>
                <w:sz w:val="18"/>
                <w:szCs w:val="18"/>
              </w:rPr>
            </w:pPr>
          </w:p>
        </w:tc>
        <w:tc>
          <w:tcPr>
            <w:tcW w:w="1666" w:type="dxa"/>
            <w:vMerge w:val="continue"/>
            <w:vAlign w:val="center"/>
          </w:tcPr>
          <w:p w14:paraId="5F2C662F">
            <w:pPr>
              <w:jc w:val="center"/>
              <w:rPr>
                <w:rFonts w:hint="eastAsia" w:ascii="宋体" w:hAnsi="宋体" w:eastAsia="宋体"/>
                <w:sz w:val="18"/>
                <w:szCs w:val="18"/>
              </w:rPr>
            </w:pPr>
          </w:p>
        </w:tc>
        <w:tc>
          <w:tcPr>
            <w:tcW w:w="2126" w:type="dxa"/>
            <w:vMerge w:val="continue"/>
            <w:vAlign w:val="center"/>
          </w:tcPr>
          <w:p w14:paraId="4558F35D">
            <w:pPr>
              <w:jc w:val="center"/>
              <w:rPr>
                <w:rFonts w:hint="eastAsia" w:ascii="宋体" w:hAnsi="宋体" w:eastAsia="宋体"/>
                <w:sz w:val="18"/>
                <w:szCs w:val="18"/>
              </w:rPr>
            </w:pPr>
          </w:p>
        </w:tc>
        <w:tc>
          <w:tcPr>
            <w:tcW w:w="5103" w:type="dxa"/>
            <w:vAlign w:val="center"/>
          </w:tcPr>
          <w:p w14:paraId="007D0BE8">
            <w:pPr>
              <w:rPr>
                <w:rFonts w:hint="eastAsia" w:ascii="宋体" w:hAnsi="宋体" w:eastAsia="宋体"/>
                <w:sz w:val="18"/>
                <w:szCs w:val="18"/>
              </w:rPr>
            </w:pPr>
            <w:r>
              <w:rPr>
                <w:rFonts w:hint="eastAsia" w:ascii="宋体" w:hAnsi="宋体" w:eastAsia="宋体"/>
                <w:sz w:val="18"/>
                <w:szCs w:val="18"/>
              </w:rPr>
              <w:t>防护材料变更</w:t>
            </w:r>
          </w:p>
        </w:tc>
        <w:tc>
          <w:tcPr>
            <w:tcW w:w="1134" w:type="dxa"/>
            <w:vAlign w:val="center"/>
          </w:tcPr>
          <w:p w14:paraId="583E83F1">
            <w:pPr>
              <w:spacing w:line="360" w:lineRule="auto"/>
              <w:jc w:val="center"/>
              <w:rPr>
                <w:rFonts w:hint="eastAsia" w:ascii="宋体" w:hAnsi="宋体" w:eastAsia="宋体"/>
                <w:sz w:val="18"/>
                <w:szCs w:val="18"/>
              </w:rPr>
            </w:pPr>
            <w:r>
              <w:rPr>
                <w:rFonts w:hint="eastAsia" w:ascii="宋体" w:hAnsi="宋体" w:eastAsia="宋体"/>
                <w:sz w:val="18"/>
                <w:szCs w:val="18"/>
              </w:rPr>
              <w:t>重大</w:t>
            </w:r>
          </w:p>
        </w:tc>
      </w:tr>
    </w:tbl>
    <w:p w14:paraId="0FEA648B">
      <w:pPr>
        <w:spacing w:line="360" w:lineRule="auto"/>
        <w:rPr>
          <w:rFonts w:hint="eastAsia" w:ascii="楷体" w:hAnsi="楷体" w:eastAsia="楷体"/>
          <w:b/>
          <w:bCs/>
          <w:color w:val="000000"/>
          <w:sz w:val="24"/>
          <w:szCs w:val="24"/>
        </w:rPr>
      </w:pPr>
      <w:r>
        <w:rPr>
          <w:rFonts w:hint="eastAsia" w:ascii="楷体" w:hAnsi="楷体" w:eastAsia="楷体"/>
          <w:b/>
          <w:bCs/>
          <w:color w:val="000000"/>
          <w:sz w:val="24"/>
          <w:szCs w:val="24"/>
        </w:rPr>
        <w:t>5、指标要求</w:t>
      </w:r>
    </w:p>
    <w:p w14:paraId="5BBD1157">
      <w:pPr>
        <w:spacing w:line="360" w:lineRule="auto"/>
        <w:rPr>
          <w:rFonts w:hint="eastAsia" w:ascii="楷体" w:hAnsi="楷体" w:eastAsia="楷体"/>
        </w:rPr>
      </w:pPr>
      <w:r>
        <w:rPr>
          <w:rFonts w:hint="eastAsia" w:ascii="楷体" w:hAnsi="楷体" w:eastAsia="楷体"/>
        </w:rPr>
        <w:t>5</w:t>
      </w:r>
      <w:r>
        <w:rPr>
          <w:rFonts w:ascii="楷体" w:hAnsi="楷体" w:eastAsia="楷体"/>
        </w:rPr>
        <w:t>.1</w:t>
      </w:r>
      <w:r>
        <w:rPr>
          <w:rFonts w:hint="eastAsia" w:ascii="楷体" w:hAnsi="楷体" w:eastAsia="楷体"/>
        </w:rPr>
        <w:t>、质量改善指标及目标</w:t>
      </w:r>
    </w:p>
    <w:tbl>
      <w:tblPr>
        <w:tblStyle w:val="5"/>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977"/>
        <w:gridCol w:w="2693"/>
        <w:gridCol w:w="4111"/>
      </w:tblGrid>
      <w:tr w14:paraId="6F4C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04" w:type="dxa"/>
            <w:vAlign w:val="center"/>
          </w:tcPr>
          <w:p w14:paraId="6D1FD216">
            <w:pPr>
              <w:spacing w:line="360" w:lineRule="auto"/>
              <w:jc w:val="center"/>
              <w:rPr>
                <w:rFonts w:hint="eastAsia" w:ascii="楷体" w:hAnsi="楷体" w:eastAsia="楷体"/>
                <w:b/>
                <w:bCs/>
              </w:rPr>
            </w:pPr>
            <w:r>
              <w:rPr>
                <w:rFonts w:hint="eastAsia" w:ascii="楷体" w:hAnsi="楷体" w:eastAsia="楷体"/>
                <w:b/>
                <w:bCs/>
              </w:rPr>
              <w:t>序号</w:t>
            </w:r>
          </w:p>
        </w:tc>
        <w:tc>
          <w:tcPr>
            <w:tcW w:w="2977" w:type="dxa"/>
            <w:vAlign w:val="center"/>
          </w:tcPr>
          <w:p w14:paraId="78CB99CA">
            <w:pPr>
              <w:spacing w:line="360" w:lineRule="auto"/>
              <w:jc w:val="center"/>
              <w:rPr>
                <w:rFonts w:hint="eastAsia" w:ascii="楷体" w:hAnsi="楷体" w:eastAsia="楷体"/>
                <w:b/>
                <w:bCs/>
              </w:rPr>
            </w:pPr>
            <w:r>
              <w:rPr>
                <w:rFonts w:hint="eastAsia" w:ascii="楷体" w:hAnsi="楷体" w:eastAsia="楷体"/>
                <w:b/>
                <w:bCs/>
              </w:rPr>
              <w:t>指标项目</w:t>
            </w:r>
          </w:p>
        </w:tc>
        <w:tc>
          <w:tcPr>
            <w:tcW w:w="2693" w:type="dxa"/>
            <w:vAlign w:val="center"/>
          </w:tcPr>
          <w:p w14:paraId="35D7C7B4">
            <w:pPr>
              <w:spacing w:line="360" w:lineRule="auto"/>
              <w:jc w:val="center"/>
              <w:rPr>
                <w:rFonts w:hint="eastAsia" w:ascii="楷体" w:hAnsi="楷体" w:eastAsia="楷体"/>
                <w:b/>
                <w:bCs/>
              </w:rPr>
            </w:pPr>
            <w:r>
              <w:rPr>
                <w:rFonts w:hint="eastAsia" w:ascii="楷体" w:hAnsi="楷体" w:eastAsia="楷体"/>
                <w:b/>
                <w:bCs/>
              </w:rPr>
              <w:t>目标设定原则</w:t>
            </w:r>
          </w:p>
        </w:tc>
        <w:tc>
          <w:tcPr>
            <w:tcW w:w="4111" w:type="dxa"/>
            <w:vAlign w:val="center"/>
          </w:tcPr>
          <w:p w14:paraId="32151ED5">
            <w:pPr>
              <w:spacing w:line="360" w:lineRule="auto"/>
              <w:jc w:val="center"/>
              <w:rPr>
                <w:rFonts w:hint="eastAsia" w:ascii="楷体" w:hAnsi="楷体" w:eastAsia="楷体"/>
                <w:b/>
                <w:bCs/>
              </w:rPr>
            </w:pPr>
            <w:r>
              <w:rPr>
                <w:rFonts w:hint="eastAsia" w:ascii="楷体" w:hAnsi="楷体" w:eastAsia="楷体"/>
                <w:b/>
                <w:bCs/>
              </w:rPr>
              <w:t>备注</w:t>
            </w:r>
          </w:p>
        </w:tc>
      </w:tr>
      <w:tr w14:paraId="16FC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04" w:type="dxa"/>
            <w:vAlign w:val="center"/>
          </w:tcPr>
          <w:p w14:paraId="5EC22634">
            <w:pPr>
              <w:spacing w:line="360" w:lineRule="auto"/>
              <w:jc w:val="center"/>
              <w:rPr>
                <w:rFonts w:hint="eastAsia" w:ascii="宋体" w:hAnsi="宋体" w:eastAsia="宋体"/>
                <w:sz w:val="18"/>
                <w:szCs w:val="18"/>
              </w:rPr>
            </w:pPr>
            <w:r>
              <w:rPr>
                <w:rFonts w:ascii="宋体" w:hAnsi="宋体" w:eastAsia="宋体"/>
                <w:sz w:val="18"/>
                <w:szCs w:val="18"/>
              </w:rPr>
              <w:t>1</w:t>
            </w:r>
          </w:p>
        </w:tc>
        <w:tc>
          <w:tcPr>
            <w:tcW w:w="2977" w:type="dxa"/>
            <w:vAlign w:val="center"/>
          </w:tcPr>
          <w:p w14:paraId="59408ED4">
            <w:pPr>
              <w:spacing w:line="360" w:lineRule="auto"/>
              <w:jc w:val="center"/>
              <w:rPr>
                <w:rFonts w:hint="eastAsia" w:ascii="宋体" w:hAnsi="宋体" w:eastAsia="宋体"/>
                <w:sz w:val="18"/>
                <w:szCs w:val="18"/>
              </w:rPr>
            </w:pPr>
            <w:r>
              <w:rPr>
                <w:rFonts w:hint="eastAsia" w:ascii="宋体" w:hAnsi="宋体" w:eastAsia="宋体"/>
                <w:sz w:val="18"/>
                <w:szCs w:val="18"/>
              </w:rPr>
              <w:t>终端客户异常、批量事故（次数）</w:t>
            </w:r>
          </w:p>
        </w:tc>
        <w:tc>
          <w:tcPr>
            <w:tcW w:w="2693" w:type="dxa"/>
            <w:vAlign w:val="center"/>
          </w:tcPr>
          <w:p w14:paraId="1CB4311C">
            <w:pPr>
              <w:spacing w:line="360" w:lineRule="auto"/>
              <w:jc w:val="center"/>
              <w:rPr>
                <w:rFonts w:hint="eastAsia" w:ascii="宋体" w:hAnsi="宋体" w:eastAsia="宋体"/>
                <w:sz w:val="18"/>
                <w:szCs w:val="18"/>
              </w:rPr>
            </w:pPr>
            <w:r>
              <w:rPr>
                <w:rFonts w:hint="eastAsia" w:ascii="宋体" w:hAnsi="宋体" w:eastAsia="宋体"/>
                <w:sz w:val="18"/>
                <w:szCs w:val="18"/>
              </w:rPr>
              <w:t>不再重复发生</w:t>
            </w:r>
          </w:p>
        </w:tc>
        <w:tc>
          <w:tcPr>
            <w:tcW w:w="4111" w:type="dxa"/>
            <w:vAlign w:val="center"/>
          </w:tcPr>
          <w:p w14:paraId="47CCCDB2">
            <w:pPr>
              <w:spacing w:line="360" w:lineRule="auto"/>
              <w:jc w:val="center"/>
              <w:rPr>
                <w:rFonts w:hint="eastAsia" w:ascii="宋体" w:hAnsi="宋体" w:eastAsia="宋体"/>
                <w:sz w:val="18"/>
                <w:szCs w:val="18"/>
              </w:rPr>
            </w:pPr>
            <w:r>
              <w:rPr>
                <w:rFonts w:hint="eastAsia" w:ascii="宋体" w:hAnsi="宋体" w:eastAsia="宋体"/>
                <w:sz w:val="18"/>
                <w:szCs w:val="18"/>
              </w:rPr>
              <w:t>已知问题</w:t>
            </w:r>
          </w:p>
        </w:tc>
      </w:tr>
      <w:tr w14:paraId="1606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04" w:type="dxa"/>
            <w:vAlign w:val="center"/>
          </w:tcPr>
          <w:p w14:paraId="2AF6E844">
            <w:pPr>
              <w:spacing w:line="360" w:lineRule="auto"/>
              <w:jc w:val="center"/>
              <w:rPr>
                <w:rFonts w:hint="eastAsia" w:ascii="宋体" w:hAnsi="宋体" w:eastAsia="宋体"/>
                <w:sz w:val="18"/>
                <w:szCs w:val="18"/>
              </w:rPr>
            </w:pPr>
            <w:r>
              <w:rPr>
                <w:rFonts w:ascii="宋体" w:hAnsi="宋体" w:eastAsia="宋体"/>
                <w:sz w:val="18"/>
                <w:szCs w:val="18"/>
              </w:rPr>
              <w:t>2</w:t>
            </w:r>
          </w:p>
        </w:tc>
        <w:tc>
          <w:tcPr>
            <w:tcW w:w="2977" w:type="dxa"/>
            <w:vAlign w:val="center"/>
          </w:tcPr>
          <w:p w14:paraId="5D393BD6">
            <w:pPr>
              <w:spacing w:line="360" w:lineRule="auto"/>
              <w:jc w:val="center"/>
              <w:rPr>
                <w:rFonts w:hint="eastAsia" w:ascii="宋体" w:hAnsi="宋体" w:eastAsia="宋体"/>
                <w:sz w:val="18"/>
                <w:szCs w:val="18"/>
              </w:rPr>
            </w:pPr>
            <w:r>
              <w:rPr>
                <w:rFonts w:hint="eastAsia" w:ascii="宋体" w:hAnsi="宋体" w:eastAsia="宋体"/>
                <w:sz w:val="18"/>
                <w:szCs w:val="18"/>
              </w:rPr>
              <w:t>质量问题按期闭环率</w:t>
            </w:r>
          </w:p>
        </w:tc>
        <w:tc>
          <w:tcPr>
            <w:tcW w:w="2693" w:type="dxa"/>
            <w:vAlign w:val="center"/>
          </w:tcPr>
          <w:p w14:paraId="77B9775A">
            <w:pPr>
              <w:spacing w:line="360" w:lineRule="auto"/>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00%</w:t>
            </w:r>
            <w:r>
              <w:rPr>
                <w:rFonts w:hint="eastAsia" w:ascii="宋体" w:hAnsi="宋体" w:eastAsia="宋体"/>
                <w:sz w:val="18"/>
                <w:szCs w:val="18"/>
              </w:rPr>
              <w:t>执行</w:t>
            </w:r>
          </w:p>
        </w:tc>
        <w:tc>
          <w:tcPr>
            <w:tcW w:w="4111" w:type="dxa"/>
            <w:vAlign w:val="center"/>
          </w:tcPr>
          <w:p w14:paraId="2124A624">
            <w:pPr>
              <w:spacing w:line="360" w:lineRule="auto"/>
              <w:jc w:val="center"/>
              <w:rPr>
                <w:rFonts w:hint="eastAsia" w:ascii="宋体" w:hAnsi="宋体" w:eastAsia="宋体"/>
                <w:sz w:val="18"/>
                <w:szCs w:val="18"/>
              </w:rPr>
            </w:pPr>
            <w:r>
              <w:rPr>
                <w:rFonts w:hint="eastAsia" w:ascii="宋体" w:hAnsi="宋体" w:eastAsia="宋体"/>
                <w:sz w:val="18"/>
                <w:szCs w:val="18"/>
              </w:rPr>
              <w:t>执行力评价</w:t>
            </w:r>
          </w:p>
        </w:tc>
      </w:tr>
      <w:tr w14:paraId="2EE8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4" w:type="dxa"/>
            <w:vAlign w:val="center"/>
          </w:tcPr>
          <w:p w14:paraId="12DD761E">
            <w:pPr>
              <w:spacing w:line="360" w:lineRule="auto"/>
              <w:jc w:val="center"/>
              <w:rPr>
                <w:rFonts w:hint="eastAsia" w:ascii="宋体" w:hAnsi="宋体" w:eastAsia="宋体"/>
                <w:sz w:val="18"/>
                <w:szCs w:val="18"/>
              </w:rPr>
            </w:pPr>
            <w:r>
              <w:rPr>
                <w:rFonts w:ascii="宋体" w:hAnsi="宋体" w:eastAsia="宋体"/>
                <w:sz w:val="18"/>
                <w:szCs w:val="18"/>
              </w:rPr>
              <w:t>3</w:t>
            </w:r>
          </w:p>
        </w:tc>
        <w:tc>
          <w:tcPr>
            <w:tcW w:w="2977" w:type="dxa"/>
            <w:vAlign w:val="center"/>
          </w:tcPr>
          <w:p w14:paraId="550916D1">
            <w:pPr>
              <w:spacing w:line="360" w:lineRule="auto"/>
              <w:jc w:val="center"/>
              <w:rPr>
                <w:rFonts w:hint="eastAsia" w:ascii="宋体" w:hAnsi="宋体" w:eastAsia="宋体"/>
                <w:sz w:val="18"/>
                <w:szCs w:val="18"/>
              </w:rPr>
            </w:pPr>
            <w:r>
              <w:rPr>
                <w:rFonts w:hint="eastAsia" w:ascii="宋体" w:hAnsi="宋体" w:eastAsia="宋体"/>
                <w:sz w:val="18"/>
                <w:szCs w:val="18"/>
              </w:rPr>
              <w:t>会议决议按期执行率</w:t>
            </w:r>
          </w:p>
        </w:tc>
        <w:tc>
          <w:tcPr>
            <w:tcW w:w="2693" w:type="dxa"/>
            <w:vAlign w:val="center"/>
          </w:tcPr>
          <w:p w14:paraId="58BD396C">
            <w:pPr>
              <w:spacing w:line="360" w:lineRule="auto"/>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00%</w:t>
            </w:r>
            <w:r>
              <w:rPr>
                <w:rFonts w:hint="eastAsia" w:ascii="宋体" w:hAnsi="宋体" w:eastAsia="宋体"/>
                <w:sz w:val="18"/>
                <w:szCs w:val="18"/>
              </w:rPr>
              <w:t>执行</w:t>
            </w:r>
          </w:p>
        </w:tc>
        <w:tc>
          <w:tcPr>
            <w:tcW w:w="4111" w:type="dxa"/>
            <w:vAlign w:val="center"/>
          </w:tcPr>
          <w:p w14:paraId="6E50DAD8">
            <w:pPr>
              <w:spacing w:line="360" w:lineRule="auto"/>
              <w:jc w:val="center"/>
              <w:rPr>
                <w:rFonts w:hint="eastAsia" w:ascii="宋体" w:hAnsi="宋体" w:eastAsia="宋体"/>
                <w:sz w:val="18"/>
                <w:szCs w:val="18"/>
              </w:rPr>
            </w:pPr>
            <w:r>
              <w:rPr>
                <w:rFonts w:hint="eastAsia" w:ascii="宋体" w:hAnsi="宋体" w:eastAsia="宋体"/>
                <w:sz w:val="18"/>
                <w:szCs w:val="18"/>
              </w:rPr>
              <w:t>执行力评价</w:t>
            </w:r>
          </w:p>
        </w:tc>
      </w:tr>
    </w:tbl>
    <w:p w14:paraId="7FC184CE">
      <w:pPr>
        <w:spacing w:line="360" w:lineRule="auto"/>
        <w:rPr>
          <w:rFonts w:hint="eastAsia" w:ascii="楷体" w:hAnsi="楷体" w:eastAsia="楷体"/>
        </w:rPr>
      </w:pPr>
    </w:p>
    <w:tbl>
      <w:tblPr>
        <w:tblStyle w:val="5"/>
        <w:tblW w:w="10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835"/>
        <w:gridCol w:w="2751"/>
        <w:gridCol w:w="4057"/>
      </w:tblGrid>
      <w:tr w14:paraId="2BE9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4" w:type="dxa"/>
            <w:vAlign w:val="center"/>
          </w:tcPr>
          <w:p w14:paraId="3BBEB43E">
            <w:pPr>
              <w:spacing w:line="360" w:lineRule="auto"/>
              <w:rPr>
                <w:rFonts w:hint="eastAsia" w:ascii="楷体" w:hAnsi="楷体" w:eastAsia="楷体"/>
                <w:b/>
                <w:bCs/>
              </w:rPr>
            </w:pPr>
            <w:r>
              <w:rPr>
                <w:rFonts w:hint="eastAsia" w:ascii="楷体" w:hAnsi="楷体" w:eastAsia="楷体"/>
                <w:b/>
                <w:bCs/>
              </w:rPr>
              <w:t>序号</w:t>
            </w:r>
          </w:p>
        </w:tc>
        <w:tc>
          <w:tcPr>
            <w:tcW w:w="2835" w:type="dxa"/>
            <w:vAlign w:val="center"/>
          </w:tcPr>
          <w:p w14:paraId="1E158F2F">
            <w:pPr>
              <w:spacing w:line="360" w:lineRule="auto"/>
              <w:jc w:val="center"/>
              <w:rPr>
                <w:rFonts w:hint="eastAsia" w:ascii="楷体" w:hAnsi="楷体" w:eastAsia="楷体"/>
                <w:b/>
                <w:bCs/>
              </w:rPr>
            </w:pPr>
            <w:r>
              <w:rPr>
                <w:rFonts w:hint="eastAsia" w:ascii="楷体" w:hAnsi="楷体" w:eastAsia="楷体"/>
                <w:b/>
                <w:bCs/>
              </w:rPr>
              <w:t>指标项目</w:t>
            </w:r>
          </w:p>
        </w:tc>
        <w:tc>
          <w:tcPr>
            <w:tcW w:w="2751" w:type="dxa"/>
            <w:vAlign w:val="center"/>
          </w:tcPr>
          <w:p w14:paraId="3C22BDB0">
            <w:pPr>
              <w:spacing w:line="360" w:lineRule="auto"/>
              <w:jc w:val="center"/>
              <w:rPr>
                <w:rFonts w:hint="eastAsia" w:ascii="楷体" w:hAnsi="楷体" w:eastAsia="楷体"/>
                <w:b/>
                <w:bCs/>
              </w:rPr>
            </w:pPr>
            <w:r>
              <w:rPr>
                <w:rFonts w:hint="eastAsia" w:ascii="楷体" w:hAnsi="楷体" w:eastAsia="楷体"/>
                <w:b/>
                <w:bCs/>
              </w:rPr>
              <w:t>指标目的</w:t>
            </w:r>
          </w:p>
        </w:tc>
        <w:tc>
          <w:tcPr>
            <w:tcW w:w="4057" w:type="dxa"/>
            <w:vAlign w:val="center"/>
          </w:tcPr>
          <w:p w14:paraId="1BD3EAF2">
            <w:pPr>
              <w:spacing w:line="360" w:lineRule="auto"/>
              <w:jc w:val="center"/>
              <w:rPr>
                <w:rFonts w:hint="eastAsia" w:ascii="楷体" w:hAnsi="楷体" w:eastAsia="楷体"/>
                <w:b/>
                <w:bCs/>
              </w:rPr>
            </w:pPr>
            <w:r>
              <w:rPr>
                <w:rFonts w:hint="eastAsia" w:ascii="楷体" w:hAnsi="楷体" w:eastAsia="楷体"/>
                <w:b/>
                <w:bCs/>
              </w:rPr>
              <w:t>指标说明及统计标准</w:t>
            </w:r>
          </w:p>
        </w:tc>
      </w:tr>
      <w:tr w14:paraId="674C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04" w:type="dxa"/>
            <w:vAlign w:val="center"/>
          </w:tcPr>
          <w:p w14:paraId="264715CD">
            <w:pPr>
              <w:spacing w:line="360" w:lineRule="auto"/>
              <w:jc w:val="center"/>
              <w:rPr>
                <w:rFonts w:hint="eastAsia" w:ascii="宋体" w:hAnsi="宋体" w:eastAsia="宋体"/>
                <w:sz w:val="18"/>
                <w:szCs w:val="18"/>
              </w:rPr>
            </w:pPr>
            <w:r>
              <w:rPr>
                <w:rFonts w:ascii="宋体" w:hAnsi="宋体" w:eastAsia="宋体"/>
                <w:sz w:val="18"/>
                <w:szCs w:val="18"/>
              </w:rPr>
              <w:t>1</w:t>
            </w:r>
          </w:p>
        </w:tc>
        <w:tc>
          <w:tcPr>
            <w:tcW w:w="2835" w:type="dxa"/>
            <w:vAlign w:val="center"/>
          </w:tcPr>
          <w:p w14:paraId="101C3171">
            <w:pPr>
              <w:rPr>
                <w:rFonts w:hint="eastAsia" w:ascii="宋体" w:hAnsi="宋体" w:eastAsia="宋体"/>
                <w:sz w:val="18"/>
                <w:szCs w:val="18"/>
              </w:rPr>
            </w:pPr>
            <w:r>
              <w:rPr>
                <w:rFonts w:hint="eastAsia" w:ascii="宋体" w:hAnsi="宋体" w:eastAsia="宋体"/>
                <w:sz w:val="18"/>
                <w:szCs w:val="18"/>
              </w:rPr>
              <w:t>对甲方终端客户异常、批量事故（次数）</w:t>
            </w:r>
          </w:p>
        </w:tc>
        <w:tc>
          <w:tcPr>
            <w:tcW w:w="2751" w:type="dxa"/>
            <w:vAlign w:val="center"/>
          </w:tcPr>
          <w:p w14:paraId="24A178F8">
            <w:pPr>
              <w:widowControl/>
              <w:rPr>
                <w:rFonts w:hint="eastAsia" w:ascii="宋体" w:hAnsi="宋体" w:eastAsia="宋体"/>
                <w:sz w:val="18"/>
                <w:szCs w:val="18"/>
              </w:rPr>
            </w:pPr>
            <w:r>
              <w:rPr>
                <w:rStyle w:val="7"/>
                <w:rFonts w:hint="default" w:ascii="宋体" w:hAnsi="宋体" w:eastAsia="宋体"/>
                <w:sz w:val="18"/>
                <w:szCs w:val="18"/>
              </w:rPr>
              <w:t>消除市场终端由于物料质量问题原因造成的订单交付影响</w:t>
            </w:r>
          </w:p>
        </w:tc>
        <w:tc>
          <w:tcPr>
            <w:tcW w:w="4057" w:type="dxa"/>
            <w:vAlign w:val="center"/>
          </w:tcPr>
          <w:p w14:paraId="61AA8F6B">
            <w:pPr>
              <w:widowControl/>
              <w:rPr>
                <w:rFonts w:hint="eastAsia" w:ascii="宋体" w:hAnsi="宋体" w:eastAsia="宋体"/>
                <w:sz w:val="18"/>
                <w:szCs w:val="18"/>
              </w:rPr>
            </w:pPr>
            <w:r>
              <w:rPr>
                <w:rStyle w:val="7"/>
                <w:rFonts w:hint="default" w:ascii="宋体" w:hAnsi="宋体" w:eastAsia="宋体"/>
                <w:sz w:val="18"/>
                <w:szCs w:val="18"/>
              </w:rPr>
              <w:t>按季度统计次数，不再重复发生</w:t>
            </w:r>
          </w:p>
        </w:tc>
      </w:tr>
      <w:tr w14:paraId="16B0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04" w:type="dxa"/>
            <w:vAlign w:val="center"/>
          </w:tcPr>
          <w:p w14:paraId="4A53EADA">
            <w:pPr>
              <w:spacing w:line="360" w:lineRule="auto"/>
              <w:jc w:val="center"/>
              <w:rPr>
                <w:rFonts w:hint="eastAsia" w:ascii="宋体" w:hAnsi="宋体" w:eastAsia="宋体"/>
                <w:sz w:val="18"/>
                <w:szCs w:val="18"/>
              </w:rPr>
            </w:pPr>
            <w:r>
              <w:rPr>
                <w:rFonts w:ascii="宋体" w:hAnsi="宋体" w:eastAsia="宋体"/>
                <w:sz w:val="18"/>
                <w:szCs w:val="18"/>
              </w:rPr>
              <w:t>2</w:t>
            </w:r>
          </w:p>
        </w:tc>
        <w:tc>
          <w:tcPr>
            <w:tcW w:w="2835" w:type="dxa"/>
            <w:vAlign w:val="center"/>
          </w:tcPr>
          <w:p w14:paraId="10659580">
            <w:pPr>
              <w:rPr>
                <w:rFonts w:hint="eastAsia" w:ascii="宋体" w:hAnsi="宋体" w:eastAsia="宋体"/>
                <w:sz w:val="18"/>
                <w:szCs w:val="18"/>
              </w:rPr>
            </w:pPr>
            <w:r>
              <w:rPr>
                <w:rFonts w:hint="eastAsia" w:ascii="宋体" w:hAnsi="宋体" w:eastAsia="宋体"/>
                <w:sz w:val="18"/>
                <w:szCs w:val="18"/>
              </w:rPr>
              <w:t>质量问题按期闭环率</w:t>
            </w:r>
          </w:p>
        </w:tc>
        <w:tc>
          <w:tcPr>
            <w:tcW w:w="2751" w:type="dxa"/>
            <w:vAlign w:val="center"/>
          </w:tcPr>
          <w:p w14:paraId="24250873">
            <w:pPr>
              <w:widowControl/>
              <w:rPr>
                <w:rFonts w:hint="eastAsia" w:ascii="宋体" w:hAnsi="宋体" w:eastAsia="宋体"/>
                <w:sz w:val="18"/>
                <w:szCs w:val="18"/>
              </w:rPr>
            </w:pPr>
            <w:r>
              <w:rPr>
                <w:rStyle w:val="7"/>
                <w:rFonts w:hint="default" w:ascii="宋体" w:hAnsi="宋体" w:eastAsia="宋体"/>
                <w:sz w:val="18"/>
                <w:szCs w:val="18"/>
              </w:rPr>
              <w:t>提高乙方改善效率，推动问题快速解决</w:t>
            </w:r>
          </w:p>
        </w:tc>
        <w:tc>
          <w:tcPr>
            <w:tcW w:w="4057" w:type="dxa"/>
            <w:vAlign w:val="center"/>
          </w:tcPr>
          <w:p w14:paraId="3BC1D90D">
            <w:pPr>
              <w:widowControl/>
              <w:rPr>
                <w:rFonts w:hint="eastAsia" w:ascii="宋体" w:hAnsi="宋体" w:eastAsia="宋体"/>
                <w:sz w:val="18"/>
                <w:szCs w:val="18"/>
              </w:rPr>
            </w:pPr>
            <w:r>
              <w:rPr>
                <w:rStyle w:val="7"/>
                <w:rFonts w:hint="default" w:ascii="宋体" w:hAnsi="宋体" w:eastAsia="宋体"/>
                <w:sz w:val="18"/>
                <w:szCs w:val="18"/>
              </w:rPr>
              <w:t>质量问题按期完成项目数/质量问题总项目数</w:t>
            </w:r>
          </w:p>
        </w:tc>
      </w:tr>
      <w:tr w14:paraId="2B5C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04" w:type="dxa"/>
            <w:vAlign w:val="center"/>
          </w:tcPr>
          <w:p w14:paraId="120A794A">
            <w:pPr>
              <w:spacing w:line="360" w:lineRule="auto"/>
              <w:jc w:val="center"/>
              <w:rPr>
                <w:rFonts w:hint="eastAsia" w:ascii="宋体" w:hAnsi="宋体" w:eastAsia="宋体"/>
                <w:sz w:val="18"/>
                <w:szCs w:val="18"/>
              </w:rPr>
            </w:pPr>
            <w:r>
              <w:rPr>
                <w:rFonts w:ascii="宋体" w:hAnsi="宋体" w:eastAsia="宋体"/>
                <w:sz w:val="18"/>
                <w:szCs w:val="18"/>
              </w:rPr>
              <w:t>3</w:t>
            </w:r>
          </w:p>
        </w:tc>
        <w:tc>
          <w:tcPr>
            <w:tcW w:w="2835" w:type="dxa"/>
            <w:vAlign w:val="center"/>
          </w:tcPr>
          <w:p w14:paraId="36DBBCBD">
            <w:pPr>
              <w:rPr>
                <w:rFonts w:hint="eastAsia" w:ascii="宋体" w:hAnsi="宋体" w:eastAsia="宋体"/>
                <w:sz w:val="18"/>
                <w:szCs w:val="18"/>
              </w:rPr>
            </w:pPr>
            <w:r>
              <w:rPr>
                <w:rFonts w:hint="eastAsia" w:ascii="宋体" w:hAnsi="宋体" w:eastAsia="宋体"/>
                <w:sz w:val="18"/>
                <w:szCs w:val="18"/>
              </w:rPr>
              <w:t>会议决议按期执行率</w:t>
            </w:r>
          </w:p>
        </w:tc>
        <w:tc>
          <w:tcPr>
            <w:tcW w:w="2751" w:type="dxa"/>
            <w:vAlign w:val="center"/>
          </w:tcPr>
          <w:p w14:paraId="26E4629F">
            <w:pPr>
              <w:widowControl/>
              <w:rPr>
                <w:rFonts w:hint="eastAsia" w:ascii="宋体" w:hAnsi="宋体" w:eastAsia="宋体"/>
                <w:sz w:val="18"/>
                <w:szCs w:val="18"/>
              </w:rPr>
            </w:pPr>
            <w:r>
              <w:rPr>
                <w:rStyle w:val="7"/>
                <w:rFonts w:hint="default" w:ascii="宋体" w:hAnsi="宋体" w:eastAsia="宋体"/>
                <w:sz w:val="18"/>
                <w:szCs w:val="18"/>
              </w:rPr>
              <w:t>提升乙方质量活动执行力，最终提升乙方实物质量水平</w:t>
            </w:r>
          </w:p>
        </w:tc>
        <w:tc>
          <w:tcPr>
            <w:tcW w:w="4057" w:type="dxa"/>
            <w:vAlign w:val="center"/>
          </w:tcPr>
          <w:p w14:paraId="22A83DF0">
            <w:pPr>
              <w:widowControl/>
              <w:rPr>
                <w:rFonts w:hint="eastAsia" w:ascii="宋体" w:hAnsi="宋体" w:eastAsia="宋体"/>
                <w:sz w:val="18"/>
                <w:szCs w:val="18"/>
              </w:rPr>
            </w:pPr>
            <w:r>
              <w:rPr>
                <w:rStyle w:val="7"/>
                <w:rFonts w:hint="default" w:ascii="宋体" w:hAnsi="宋体" w:eastAsia="宋体"/>
                <w:sz w:val="18"/>
                <w:szCs w:val="18"/>
              </w:rPr>
              <w:t>会议决议按期完成项目数/会议决议总项目数</w:t>
            </w:r>
          </w:p>
        </w:tc>
      </w:tr>
      <w:tr w14:paraId="2DFC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4" w:type="dxa"/>
            <w:vAlign w:val="center"/>
          </w:tcPr>
          <w:p w14:paraId="253C1AE5">
            <w:pPr>
              <w:spacing w:line="360" w:lineRule="auto"/>
              <w:jc w:val="center"/>
              <w:rPr>
                <w:rFonts w:hint="eastAsia" w:ascii="宋体" w:hAnsi="宋体" w:eastAsia="宋体"/>
                <w:sz w:val="18"/>
                <w:szCs w:val="18"/>
              </w:rPr>
            </w:pPr>
            <w:r>
              <w:rPr>
                <w:rFonts w:ascii="宋体" w:hAnsi="宋体" w:eastAsia="宋体"/>
                <w:sz w:val="18"/>
                <w:szCs w:val="18"/>
              </w:rPr>
              <w:t>4</w:t>
            </w:r>
          </w:p>
        </w:tc>
        <w:tc>
          <w:tcPr>
            <w:tcW w:w="2835" w:type="dxa"/>
            <w:vAlign w:val="center"/>
          </w:tcPr>
          <w:p w14:paraId="0DE08774">
            <w:pPr>
              <w:rPr>
                <w:rFonts w:hint="eastAsia" w:ascii="宋体" w:hAnsi="宋体" w:eastAsia="宋体"/>
                <w:sz w:val="18"/>
                <w:szCs w:val="18"/>
              </w:rPr>
            </w:pPr>
            <w:r>
              <w:rPr>
                <w:rFonts w:hint="eastAsia" w:ascii="宋体" w:hAnsi="宋体" w:eastAsia="宋体"/>
                <w:sz w:val="18"/>
                <w:szCs w:val="18"/>
              </w:rPr>
              <w:t>低级错误（次数）</w:t>
            </w:r>
          </w:p>
        </w:tc>
        <w:tc>
          <w:tcPr>
            <w:tcW w:w="2751" w:type="dxa"/>
            <w:vAlign w:val="center"/>
          </w:tcPr>
          <w:p w14:paraId="79B932D2">
            <w:pPr>
              <w:widowControl/>
              <w:rPr>
                <w:rFonts w:hint="eastAsia" w:ascii="宋体" w:hAnsi="宋体" w:eastAsia="宋体"/>
                <w:sz w:val="18"/>
                <w:szCs w:val="18"/>
              </w:rPr>
            </w:pPr>
            <w:r>
              <w:rPr>
                <w:rStyle w:val="7"/>
                <w:rFonts w:hint="default" w:ascii="宋体" w:hAnsi="宋体" w:eastAsia="宋体"/>
                <w:sz w:val="18"/>
                <w:szCs w:val="18"/>
              </w:rPr>
              <w:t>完善乙方生产、检验等环节的细节管理</w:t>
            </w:r>
          </w:p>
        </w:tc>
        <w:tc>
          <w:tcPr>
            <w:tcW w:w="4057" w:type="dxa"/>
            <w:vAlign w:val="center"/>
          </w:tcPr>
          <w:p w14:paraId="50DF9FA5">
            <w:pPr>
              <w:widowControl/>
              <w:rPr>
                <w:rFonts w:hint="eastAsia" w:ascii="宋体" w:hAnsi="宋体" w:eastAsia="宋体"/>
                <w:sz w:val="18"/>
                <w:szCs w:val="18"/>
              </w:rPr>
            </w:pPr>
            <w:r>
              <w:rPr>
                <w:rStyle w:val="7"/>
                <w:rFonts w:hint="default" w:ascii="宋体" w:hAnsi="宋体" w:eastAsia="宋体"/>
                <w:sz w:val="18"/>
                <w:szCs w:val="18"/>
              </w:rPr>
              <w:t>按季度统计次数，不再重复发生</w:t>
            </w:r>
          </w:p>
        </w:tc>
      </w:tr>
    </w:tbl>
    <w:p w14:paraId="2961862B">
      <w:pPr>
        <w:spacing w:line="360" w:lineRule="auto"/>
        <w:rPr>
          <w:rFonts w:hint="eastAsia" w:ascii="宋体" w:hAnsi="宋体" w:eastAsia="宋体"/>
          <w:b/>
          <w:bCs/>
          <w:szCs w:val="21"/>
        </w:rPr>
      </w:pPr>
      <w:r>
        <w:rPr>
          <w:rFonts w:ascii="楷体" w:hAnsi="楷体" w:eastAsia="楷体"/>
          <w:b/>
          <w:bCs/>
          <w:color w:val="000000"/>
          <w:sz w:val="22"/>
        </w:rPr>
        <w:t>6、质量责任追溯</w:t>
      </w:r>
      <w:r>
        <w:rPr>
          <w:rFonts w:hint="eastAsia" w:ascii="宋体" w:hAnsi="宋体" w:eastAsia="宋体"/>
          <w:color w:val="000000"/>
          <w:szCs w:val="21"/>
        </w:rPr>
        <w:br w:type="textWrapping"/>
      </w:r>
      <w:r>
        <w:rPr>
          <w:rFonts w:ascii="宋体" w:hAnsi="宋体" w:eastAsia="宋体"/>
          <w:color w:val="000000"/>
          <w:szCs w:val="21"/>
        </w:rPr>
        <w:t>6.1 质量追溯规则</w:t>
      </w:r>
    </w:p>
    <w:tbl>
      <w:tblPr>
        <w:tblStyle w:val="5"/>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3756"/>
        <w:gridCol w:w="5953"/>
      </w:tblGrid>
      <w:tr w14:paraId="55C9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5DC5343E">
            <w:pPr>
              <w:spacing w:line="360" w:lineRule="auto"/>
              <w:jc w:val="center"/>
              <w:rPr>
                <w:rFonts w:hint="eastAsia" w:ascii="楷体" w:hAnsi="楷体" w:eastAsia="楷体"/>
                <w:b/>
                <w:bCs/>
              </w:rPr>
            </w:pPr>
            <w:r>
              <w:rPr>
                <w:rFonts w:hint="eastAsia" w:ascii="楷体" w:hAnsi="楷体" w:eastAsia="楷体"/>
                <w:b/>
                <w:bCs/>
              </w:rPr>
              <w:t>类别</w:t>
            </w:r>
          </w:p>
        </w:tc>
        <w:tc>
          <w:tcPr>
            <w:tcW w:w="3756" w:type="dxa"/>
          </w:tcPr>
          <w:p w14:paraId="71721865">
            <w:pPr>
              <w:spacing w:line="360" w:lineRule="auto"/>
              <w:jc w:val="center"/>
              <w:rPr>
                <w:rFonts w:hint="eastAsia" w:ascii="楷体" w:hAnsi="楷体" w:eastAsia="楷体"/>
                <w:b/>
                <w:bCs/>
              </w:rPr>
            </w:pPr>
            <w:r>
              <w:rPr>
                <w:rFonts w:hint="eastAsia" w:ascii="楷体" w:hAnsi="楷体" w:eastAsia="楷体"/>
                <w:b/>
                <w:bCs/>
              </w:rPr>
              <w:t>项目</w:t>
            </w:r>
          </w:p>
        </w:tc>
        <w:tc>
          <w:tcPr>
            <w:tcW w:w="5953" w:type="dxa"/>
          </w:tcPr>
          <w:p w14:paraId="411ECDC8">
            <w:pPr>
              <w:spacing w:line="360" w:lineRule="auto"/>
              <w:jc w:val="center"/>
              <w:rPr>
                <w:rFonts w:hint="eastAsia" w:ascii="楷体" w:hAnsi="楷体" w:eastAsia="楷体"/>
                <w:b/>
                <w:bCs/>
              </w:rPr>
            </w:pPr>
            <w:r>
              <w:rPr>
                <w:rFonts w:hint="eastAsia" w:ascii="楷体" w:hAnsi="楷体" w:eastAsia="楷体"/>
                <w:b/>
                <w:bCs/>
              </w:rPr>
              <w:t>质量责任追溯规则</w:t>
            </w:r>
          </w:p>
        </w:tc>
      </w:tr>
      <w:tr w14:paraId="5CC9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restart"/>
            <w:vAlign w:val="center"/>
          </w:tcPr>
          <w:p w14:paraId="2B7A1DA8">
            <w:pPr>
              <w:spacing w:line="360" w:lineRule="auto"/>
              <w:rPr>
                <w:rFonts w:hint="eastAsia" w:ascii="宋体" w:hAnsi="宋体" w:eastAsia="宋体"/>
                <w:sz w:val="18"/>
                <w:szCs w:val="18"/>
              </w:rPr>
            </w:pPr>
            <w:r>
              <w:rPr>
                <w:rFonts w:hint="eastAsia" w:ascii="宋体" w:hAnsi="宋体" w:eastAsia="宋体"/>
                <w:sz w:val="18"/>
                <w:szCs w:val="18"/>
              </w:rPr>
              <w:t>实物质量评价</w:t>
            </w:r>
          </w:p>
        </w:tc>
        <w:tc>
          <w:tcPr>
            <w:tcW w:w="3756" w:type="dxa"/>
            <w:vAlign w:val="center"/>
          </w:tcPr>
          <w:p w14:paraId="528829AA">
            <w:pPr>
              <w:rPr>
                <w:rFonts w:hint="eastAsia" w:ascii="宋体" w:hAnsi="宋体" w:eastAsia="宋体"/>
                <w:sz w:val="18"/>
                <w:szCs w:val="18"/>
              </w:rPr>
            </w:pPr>
            <w:r>
              <w:rPr>
                <w:rFonts w:hint="eastAsia" w:ascii="宋体" w:hAnsi="宋体" w:eastAsia="宋体"/>
                <w:sz w:val="18"/>
                <w:szCs w:val="18"/>
              </w:rPr>
              <w:t>非产品指标及加工性能导致的质量异常</w:t>
            </w:r>
          </w:p>
          <w:p w14:paraId="06D07786">
            <w:pPr>
              <w:rPr>
                <w:rFonts w:hint="eastAsia" w:ascii="宋体" w:hAnsi="宋体" w:eastAsia="宋体"/>
                <w:sz w:val="18"/>
                <w:szCs w:val="18"/>
                <w:highlight w:val="yellow"/>
              </w:rPr>
            </w:pPr>
            <w:r>
              <w:rPr>
                <w:rFonts w:hint="eastAsia" w:ascii="宋体" w:hAnsi="宋体" w:eastAsia="宋体"/>
                <w:sz w:val="18"/>
                <w:szCs w:val="18"/>
              </w:rPr>
              <w:t>包括但不限于脏污、受潮、异物、吨袋破损等质量问题</w:t>
            </w:r>
          </w:p>
        </w:tc>
        <w:tc>
          <w:tcPr>
            <w:tcW w:w="5953" w:type="dxa"/>
            <w:vAlign w:val="center"/>
          </w:tcPr>
          <w:p w14:paraId="0685F9B8">
            <w:pPr>
              <w:widowControl/>
              <w:rPr>
                <w:rFonts w:hint="eastAsia" w:ascii="宋体" w:hAnsi="宋体" w:eastAsia="宋体"/>
                <w:sz w:val="18"/>
                <w:szCs w:val="18"/>
                <w:highlight w:val="yellow"/>
              </w:rPr>
            </w:pPr>
            <w:r>
              <w:rPr>
                <w:rStyle w:val="7"/>
                <w:rFonts w:hint="default" w:ascii="宋体" w:hAnsi="宋体" w:eastAsia="宋体"/>
                <w:sz w:val="18"/>
                <w:szCs w:val="18"/>
              </w:rPr>
              <w:t>违约金 2000-10000 元/次， 造成的人工损失、产品不良损失、 停线损失等甲方一切损失另行赔付；损失赔付金额=索赔产品数量×索赔产品的市场价×（1+17%） +相关费用（工时费、附加费、差补费、公关费等） +品牌声誉损失费+造成其他相关产品损失额+</w:t>
            </w:r>
          </w:p>
        </w:tc>
      </w:tr>
      <w:tr w14:paraId="3959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continue"/>
            <w:vAlign w:val="center"/>
          </w:tcPr>
          <w:p w14:paraId="37BEB3FC">
            <w:pPr>
              <w:spacing w:line="360" w:lineRule="auto"/>
              <w:rPr>
                <w:rFonts w:hint="eastAsia" w:ascii="宋体" w:hAnsi="宋体" w:eastAsia="宋体"/>
                <w:sz w:val="18"/>
                <w:szCs w:val="18"/>
              </w:rPr>
            </w:pPr>
          </w:p>
        </w:tc>
        <w:tc>
          <w:tcPr>
            <w:tcW w:w="3756" w:type="dxa"/>
            <w:vAlign w:val="center"/>
          </w:tcPr>
          <w:p w14:paraId="2A0BA656">
            <w:pPr>
              <w:rPr>
                <w:rFonts w:hint="eastAsia" w:ascii="宋体" w:hAnsi="宋体" w:eastAsia="宋体"/>
                <w:sz w:val="18"/>
                <w:szCs w:val="18"/>
              </w:rPr>
            </w:pPr>
            <w:r>
              <w:rPr>
                <w:rFonts w:hint="eastAsia" w:ascii="宋体" w:hAnsi="宋体" w:eastAsia="宋体"/>
                <w:sz w:val="18"/>
                <w:szCs w:val="18"/>
              </w:rPr>
              <w:t>产品储存过程的质量异常</w:t>
            </w:r>
          </w:p>
        </w:tc>
        <w:tc>
          <w:tcPr>
            <w:tcW w:w="5953" w:type="dxa"/>
            <w:vAlign w:val="center"/>
          </w:tcPr>
          <w:p w14:paraId="1BF8F847">
            <w:pPr>
              <w:widowControl/>
              <w:rPr>
                <w:rStyle w:val="7"/>
                <w:rFonts w:hint="default" w:ascii="宋体" w:hAnsi="宋体" w:eastAsia="宋体"/>
                <w:sz w:val="18"/>
                <w:szCs w:val="18"/>
              </w:rPr>
            </w:pPr>
            <w:r>
              <w:rPr>
                <w:rStyle w:val="7"/>
                <w:rFonts w:hint="default" w:ascii="宋体" w:hAnsi="宋体" w:eastAsia="宋体"/>
                <w:sz w:val="18"/>
                <w:szCs w:val="18"/>
              </w:rPr>
              <w:t>违约金500-2000元/批，承担甲方因质量产生的一切损失</w:t>
            </w:r>
          </w:p>
        </w:tc>
      </w:tr>
      <w:tr w14:paraId="4447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continue"/>
            <w:vAlign w:val="center"/>
          </w:tcPr>
          <w:p w14:paraId="4B9FAEED">
            <w:pPr>
              <w:spacing w:line="360" w:lineRule="auto"/>
              <w:rPr>
                <w:rFonts w:hint="eastAsia" w:ascii="宋体" w:hAnsi="宋体" w:eastAsia="宋体"/>
                <w:sz w:val="18"/>
                <w:szCs w:val="18"/>
              </w:rPr>
            </w:pPr>
          </w:p>
        </w:tc>
        <w:tc>
          <w:tcPr>
            <w:tcW w:w="3756" w:type="dxa"/>
            <w:vAlign w:val="center"/>
          </w:tcPr>
          <w:p w14:paraId="480699EE">
            <w:pPr>
              <w:rPr>
                <w:rFonts w:hint="eastAsia" w:ascii="宋体" w:hAnsi="宋体" w:eastAsia="宋体"/>
                <w:sz w:val="18"/>
                <w:szCs w:val="18"/>
              </w:rPr>
            </w:pPr>
            <w:r>
              <w:rPr>
                <w:rFonts w:hint="eastAsia" w:ascii="宋体" w:hAnsi="宋体" w:eastAsia="宋体"/>
                <w:sz w:val="18"/>
                <w:szCs w:val="18"/>
              </w:rPr>
              <w:t>包装及加工过程中的质量异常</w:t>
            </w:r>
          </w:p>
        </w:tc>
        <w:tc>
          <w:tcPr>
            <w:tcW w:w="5953" w:type="dxa"/>
            <w:vAlign w:val="center"/>
          </w:tcPr>
          <w:p w14:paraId="404C2583">
            <w:pPr>
              <w:widowControl/>
              <w:rPr>
                <w:rStyle w:val="7"/>
                <w:rFonts w:hint="default" w:ascii="宋体" w:hAnsi="宋体" w:eastAsia="宋体"/>
                <w:sz w:val="18"/>
                <w:szCs w:val="18"/>
              </w:rPr>
            </w:pPr>
            <w:r>
              <w:rPr>
                <w:rStyle w:val="7"/>
                <w:rFonts w:hint="default" w:ascii="宋体" w:hAnsi="宋体" w:eastAsia="宋体"/>
                <w:sz w:val="18"/>
                <w:szCs w:val="18"/>
              </w:rPr>
              <w:t>违约金500-2000元/批，承担甲方因质量产生的一切损失</w:t>
            </w:r>
          </w:p>
        </w:tc>
      </w:tr>
      <w:tr w14:paraId="1CD4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continue"/>
            <w:vAlign w:val="center"/>
          </w:tcPr>
          <w:p w14:paraId="020AA8E2">
            <w:pPr>
              <w:spacing w:line="360" w:lineRule="auto"/>
              <w:rPr>
                <w:rFonts w:hint="eastAsia" w:ascii="宋体" w:hAnsi="宋体" w:eastAsia="宋体"/>
                <w:sz w:val="18"/>
                <w:szCs w:val="18"/>
              </w:rPr>
            </w:pPr>
          </w:p>
        </w:tc>
        <w:tc>
          <w:tcPr>
            <w:tcW w:w="3756" w:type="dxa"/>
            <w:vAlign w:val="center"/>
          </w:tcPr>
          <w:p w14:paraId="6DFD9C0C">
            <w:pPr>
              <w:rPr>
                <w:rFonts w:hint="eastAsia" w:ascii="宋体" w:hAnsi="宋体" w:eastAsia="宋体"/>
                <w:sz w:val="18"/>
                <w:szCs w:val="18"/>
              </w:rPr>
            </w:pPr>
            <w:r>
              <w:rPr>
                <w:rFonts w:hint="eastAsia" w:ascii="宋体" w:hAnsi="宋体" w:eastAsia="宋体"/>
                <w:sz w:val="18"/>
                <w:szCs w:val="18"/>
              </w:rPr>
              <w:t>运输过程中的质量异常</w:t>
            </w:r>
          </w:p>
        </w:tc>
        <w:tc>
          <w:tcPr>
            <w:tcW w:w="5953" w:type="dxa"/>
            <w:vAlign w:val="center"/>
          </w:tcPr>
          <w:p w14:paraId="3558702C">
            <w:pPr>
              <w:widowControl/>
              <w:rPr>
                <w:rStyle w:val="7"/>
                <w:rFonts w:hint="default" w:ascii="宋体" w:hAnsi="宋体" w:eastAsia="宋体"/>
                <w:sz w:val="18"/>
                <w:szCs w:val="18"/>
              </w:rPr>
            </w:pPr>
            <w:r>
              <w:rPr>
                <w:rStyle w:val="7"/>
                <w:rFonts w:hint="default" w:ascii="宋体" w:hAnsi="宋体" w:eastAsia="宋体"/>
                <w:sz w:val="18"/>
                <w:szCs w:val="18"/>
              </w:rPr>
              <w:t>违约金500-2000元/批，承担甲方因质量产生的一切损失</w:t>
            </w:r>
          </w:p>
        </w:tc>
      </w:tr>
      <w:tr w14:paraId="0C79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continue"/>
            <w:vAlign w:val="center"/>
          </w:tcPr>
          <w:p w14:paraId="62CA047D">
            <w:pPr>
              <w:spacing w:line="360" w:lineRule="auto"/>
              <w:rPr>
                <w:rFonts w:hint="eastAsia" w:ascii="宋体" w:hAnsi="宋体" w:eastAsia="宋体"/>
                <w:sz w:val="18"/>
                <w:szCs w:val="18"/>
              </w:rPr>
            </w:pPr>
          </w:p>
        </w:tc>
        <w:tc>
          <w:tcPr>
            <w:tcW w:w="3756" w:type="dxa"/>
            <w:vAlign w:val="center"/>
          </w:tcPr>
          <w:p w14:paraId="7B1B1875">
            <w:pPr>
              <w:spacing w:line="360" w:lineRule="auto"/>
              <w:rPr>
                <w:rFonts w:hint="eastAsia" w:ascii="宋体" w:hAnsi="宋体" w:eastAsia="宋体"/>
                <w:sz w:val="18"/>
                <w:szCs w:val="18"/>
              </w:rPr>
            </w:pPr>
            <w:r>
              <w:rPr>
                <w:rFonts w:hint="eastAsia" w:ascii="宋体" w:hAnsi="宋体" w:eastAsia="宋体"/>
                <w:sz w:val="18"/>
                <w:szCs w:val="18"/>
              </w:rPr>
              <w:t>质量改善目标未达成</w:t>
            </w:r>
          </w:p>
        </w:tc>
        <w:tc>
          <w:tcPr>
            <w:tcW w:w="5953" w:type="dxa"/>
            <w:vAlign w:val="center"/>
          </w:tcPr>
          <w:p w14:paraId="598633AB">
            <w:pPr>
              <w:widowControl/>
              <w:rPr>
                <w:rStyle w:val="7"/>
                <w:rFonts w:hint="default" w:ascii="宋体" w:hAnsi="宋体" w:eastAsia="宋体"/>
                <w:sz w:val="18"/>
                <w:szCs w:val="18"/>
              </w:rPr>
            </w:pPr>
            <w:r>
              <w:rPr>
                <w:rStyle w:val="7"/>
                <w:rFonts w:hint="default" w:ascii="宋体" w:hAnsi="宋体" w:eastAsia="宋体"/>
                <w:sz w:val="18"/>
                <w:szCs w:val="18"/>
              </w:rPr>
              <w:t>违约金 2000 元/次</w:t>
            </w:r>
          </w:p>
        </w:tc>
      </w:tr>
      <w:tr w14:paraId="1750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restart"/>
            <w:vAlign w:val="center"/>
          </w:tcPr>
          <w:p w14:paraId="1A34E2E3">
            <w:pPr>
              <w:spacing w:line="360" w:lineRule="auto"/>
              <w:rPr>
                <w:rFonts w:hint="eastAsia" w:ascii="宋体" w:hAnsi="宋体" w:eastAsia="宋体"/>
                <w:sz w:val="18"/>
                <w:szCs w:val="18"/>
              </w:rPr>
            </w:pPr>
            <w:r>
              <w:rPr>
                <w:rFonts w:hint="eastAsia" w:ascii="宋体" w:hAnsi="宋体" w:eastAsia="宋体"/>
                <w:sz w:val="18"/>
                <w:szCs w:val="18"/>
              </w:rPr>
              <w:t>诚信质量评价</w:t>
            </w:r>
          </w:p>
        </w:tc>
        <w:tc>
          <w:tcPr>
            <w:tcW w:w="3756" w:type="dxa"/>
            <w:vAlign w:val="center"/>
          </w:tcPr>
          <w:p w14:paraId="79F0CDBE">
            <w:pPr>
              <w:spacing w:line="360" w:lineRule="auto"/>
              <w:rPr>
                <w:rFonts w:hint="eastAsia" w:ascii="宋体" w:hAnsi="宋体" w:eastAsia="宋体"/>
                <w:sz w:val="18"/>
                <w:szCs w:val="18"/>
              </w:rPr>
            </w:pPr>
            <w:r>
              <w:rPr>
                <w:rFonts w:hint="eastAsia" w:ascii="宋体" w:hAnsi="宋体" w:eastAsia="宋体"/>
                <w:sz w:val="18"/>
                <w:szCs w:val="18"/>
              </w:rPr>
              <w:t>私自变更</w:t>
            </w:r>
          </w:p>
        </w:tc>
        <w:tc>
          <w:tcPr>
            <w:tcW w:w="5953" w:type="dxa"/>
            <w:vAlign w:val="center"/>
          </w:tcPr>
          <w:p w14:paraId="2611E377">
            <w:pPr>
              <w:widowControl/>
              <w:rPr>
                <w:rStyle w:val="7"/>
                <w:rFonts w:hint="default" w:ascii="宋体" w:hAnsi="宋体" w:eastAsia="宋体"/>
                <w:sz w:val="18"/>
                <w:szCs w:val="18"/>
              </w:rPr>
            </w:pPr>
            <w:r>
              <w:rPr>
                <w:rStyle w:val="7"/>
                <w:rFonts w:hint="default" w:ascii="宋体" w:hAnsi="宋体" w:eastAsia="宋体"/>
                <w:sz w:val="18"/>
                <w:szCs w:val="18"/>
              </w:rPr>
              <w:t xml:space="preserve">违反重大变更约定的违约金为 20000 元/次，且当月绩效不得为 A、 B 级； 违反一般变更约定的违约金 2000 元/次，且当月绩效不得为 A 级； 涉及简易变更， 产品已交付甲方并且造成了不良影响， 违约金为 1000 元/次；且因私自变更造成的人工损失、产品不良损失，停线损失等甲方一切损失另行赔付； </w:t>
            </w:r>
          </w:p>
        </w:tc>
      </w:tr>
      <w:tr w14:paraId="7DDA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continue"/>
            <w:vAlign w:val="center"/>
          </w:tcPr>
          <w:p w14:paraId="78DCD1B1">
            <w:pPr>
              <w:spacing w:line="360" w:lineRule="auto"/>
              <w:rPr>
                <w:rFonts w:hint="eastAsia" w:ascii="宋体" w:hAnsi="宋体" w:eastAsia="宋体"/>
                <w:sz w:val="18"/>
                <w:szCs w:val="18"/>
              </w:rPr>
            </w:pPr>
          </w:p>
        </w:tc>
        <w:tc>
          <w:tcPr>
            <w:tcW w:w="3756" w:type="dxa"/>
            <w:vAlign w:val="center"/>
          </w:tcPr>
          <w:p w14:paraId="4A656292">
            <w:pPr>
              <w:rPr>
                <w:rFonts w:hint="eastAsia" w:ascii="宋体" w:hAnsi="宋体" w:eastAsia="宋体"/>
                <w:sz w:val="18"/>
                <w:szCs w:val="18"/>
              </w:rPr>
            </w:pPr>
            <w:r>
              <w:rPr>
                <w:rFonts w:hint="eastAsia" w:ascii="宋体" w:hAnsi="宋体" w:eastAsia="宋体"/>
                <w:sz w:val="18"/>
                <w:szCs w:val="18"/>
              </w:rPr>
              <w:t>改善报告数据、改进对策与实际不符</w:t>
            </w:r>
          </w:p>
        </w:tc>
        <w:tc>
          <w:tcPr>
            <w:tcW w:w="5953" w:type="dxa"/>
            <w:vAlign w:val="center"/>
          </w:tcPr>
          <w:p w14:paraId="2E834AD7">
            <w:pPr>
              <w:widowControl/>
              <w:spacing w:line="360" w:lineRule="auto"/>
              <w:rPr>
                <w:rStyle w:val="7"/>
                <w:rFonts w:hint="default" w:ascii="宋体" w:hAnsi="宋体" w:eastAsia="宋体"/>
                <w:sz w:val="18"/>
                <w:szCs w:val="18"/>
              </w:rPr>
            </w:pPr>
            <w:r>
              <w:rPr>
                <w:rStyle w:val="7"/>
                <w:rFonts w:hint="default" w:ascii="宋体" w:hAnsi="宋体" w:eastAsia="宋体"/>
                <w:sz w:val="18"/>
                <w:szCs w:val="18"/>
              </w:rPr>
              <w:t>违约金 1000 元/次</w:t>
            </w:r>
          </w:p>
        </w:tc>
      </w:tr>
      <w:tr w14:paraId="611F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restart"/>
            <w:vAlign w:val="center"/>
          </w:tcPr>
          <w:p w14:paraId="4F48798C">
            <w:pPr>
              <w:spacing w:line="360" w:lineRule="auto"/>
              <w:rPr>
                <w:rFonts w:hint="eastAsia" w:ascii="宋体" w:hAnsi="宋体" w:eastAsia="宋体"/>
                <w:sz w:val="18"/>
                <w:szCs w:val="18"/>
              </w:rPr>
            </w:pPr>
            <w:r>
              <w:rPr>
                <w:rFonts w:hint="eastAsia" w:ascii="宋体" w:hAnsi="宋体" w:eastAsia="宋体"/>
                <w:sz w:val="18"/>
                <w:szCs w:val="18"/>
              </w:rPr>
              <w:t>执行力质量评价</w:t>
            </w:r>
          </w:p>
        </w:tc>
        <w:tc>
          <w:tcPr>
            <w:tcW w:w="3756" w:type="dxa"/>
            <w:vAlign w:val="center"/>
          </w:tcPr>
          <w:p w14:paraId="2A6BCD4C">
            <w:pPr>
              <w:widowControl/>
              <w:rPr>
                <w:rFonts w:hint="eastAsia" w:ascii="宋体" w:hAnsi="宋体" w:eastAsia="宋体"/>
                <w:sz w:val="18"/>
                <w:szCs w:val="18"/>
              </w:rPr>
            </w:pPr>
            <w:r>
              <w:rPr>
                <w:rStyle w:val="7"/>
                <w:rFonts w:hint="default" w:ascii="宋体" w:hAnsi="宋体" w:eastAsia="宋体"/>
                <w:sz w:val="18"/>
                <w:szCs w:val="18"/>
              </w:rPr>
              <w:t>外协仓库成品出货作业指导书未按要求执行</w:t>
            </w:r>
          </w:p>
        </w:tc>
        <w:tc>
          <w:tcPr>
            <w:tcW w:w="5953" w:type="dxa"/>
            <w:vAlign w:val="center"/>
          </w:tcPr>
          <w:p w14:paraId="04AFA37F">
            <w:pPr>
              <w:widowControl/>
              <w:spacing w:line="360" w:lineRule="auto"/>
              <w:rPr>
                <w:rStyle w:val="7"/>
                <w:rFonts w:hint="default" w:ascii="宋体" w:hAnsi="宋体" w:eastAsia="宋体"/>
                <w:sz w:val="18"/>
                <w:szCs w:val="18"/>
              </w:rPr>
            </w:pPr>
            <w:r>
              <w:rPr>
                <w:rStyle w:val="7"/>
                <w:rFonts w:hint="default" w:ascii="宋体" w:hAnsi="宋体" w:eastAsia="宋体"/>
                <w:sz w:val="18"/>
                <w:szCs w:val="18"/>
              </w:rPr>
              <w:t>违约金5000 元/次，因违规操作导致的一切质量问题由甲方承担</w:t>
            </w:r>
          </w:p>
        </w:tc>
      </w:tr>
      <w:tr w14:paraId="7C17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continue"/>
            <w:vAlign w:val="center"/>
          </w:tcPr>
          <w:p w14:paraId="66F1DDB9">
            <w:pPr>
              <w:spacing w:line="360" w:lineRule="auto"/>
              <w:rPr>
                <w:rFonts w:hint="eastAsia" w:ascii="宋体" w:hAnsi="宋体" w:eastAsia="宋体"/>
                <w:sz w:val="18"/>
                <w:szCs w:val="18"/>
              </w:rPr>
            </w:pPr>
          </w:p>
        </w:tc>
        <w:tc>
          <w:tcPr>
            <w:tcW w:w="3756" w:type="dxa"/>
            <w:vAlign w:val="center"/>
          </w:tcPr>
          <w:p w14:paraId="67D3E689">
            <w:pPr>
              <w:spacing w:line="360" w:lineRule="auto"/>
              <w:rPr>
                <w:rFonts w:hint="eastAsia" w:ascii="宋体" w:hAnsi="宋体" w:eastAsia="宋体"/>
                <w:sz w:val="18"/>
                <w:szCs w:val="18"/>
              </w:rPr>
            </w:pPr>
            <w:r>
              <w:rPr>
                <w:rFonts w:hint="eastAsia" w:ascii="宋体" w:hAnsi="宋体" w:eastAsia="宋体"/>
                <w:sz w:val="18"/>
                <w:szCs w:val="18"/>
              </w:rPr>
              <w:t>质量问题改善报告回复延期</w:t>
            </w:r>
          </w:p>
        </w:tc>
        <w:tc>
          <w:tcPr>
            <w:tcW w:w="5953" w:type="dxa"/>
            <w:vAlign w:val="center"/>
          </w:tcPr>
          <w:p w14:paraId="473FF7ED">
            <w:pPr>
              <w:widowControl/>
              <w:spacing w:line="360" w:lineRule="auto"/>
              <w:rPr>
                <w:rStyle w:val="7"/>
                <w:rFonts w:hint="default" w:ascii="宋体" w:hAnsi="宋体" w:eastAsia="宋体"/>
                <w:sz w:val="18"/>
                <w:szCs w:val="18"/>
              </w:rPr>
            </w:pPr>
            <w:r>
              <w:rPr>
                <w:rStyle w:val="7"/>
                <w:rFonts w:hint="default" w:ascii="宋体" w:hAnsi="宋体" w:eastAsia="宋体"/>
                <w:sz w:val="18"/>
                <w:szCs w:val="18"/>
              </w:rPr>
              <w:t>违约金 500 元/天，上限2000元</w:t>
            </w:r>
          </w:p>
        </w:tc>
      </w:tr>
      <w:tr w14:paraId="23E2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continue"/>
            <w:vAlign w:val="center"/>
          </w:tcPr>
          <w:p w14:paraId="1CD9C439">
            <w:pPr>
              <w:spacing w:line="360" w:lineRule="auto"/>
              <w:rPr>
                <w:rFonts w:hint="eastAsia" w:ascii="宋体" w:hAnsi="宋体" w:eastAsia="宋体"/>
                <w:sz w:val="18"/>
                <w:szCs w:val="18"/>
              </w:rPr>
            </w:pPr>
          </w:p>
        </w:tc>
        <w:tc>
          <w:tcPr>
            <w:tcW w:w="3756" w:type="dxa"/>
            <w:vAlign w:val="center"/>
          </w:tcPr>
          <w:p w14:paraId="69499027">
            <w:pPr>
              <w:spacing w:line="360" w:lineRule="auto"/>
              <w:rPr>
                <w:rFonts w:hint="eastAsia" w:ascii="宋体" w:hAnsi="宋体" w:eastAsia="宋体"/>
                <w:sz w:val="18"/>
                <w:szCs w:val="18"/>
              </w:rPr>
            </w:pPr>
            <w:r>
              <w:rPr>
                <w:rFonts w:hint="eastAsia" w:ascii="宋体" w:hAnsi="宋体" w:eastAsia="宋体"/>
                <w:sz w:val="18"/>
                <w:szCs w:val="18"/>
              </w:rPr>
              <w:t>质量会议决议执行延期</w:t>
            </w:r>
          </w:p>
        </w:tc>
        <w:tc>
          <w:tcPr>
            <w:tcW w:w="5953" w:type="dxa"/>
            <w:vAlign w:val="center"/>
          </w:tcPr>
          <w:p w14:paraId="462C1304">
            <w:pPr>
              <w:widowControl/>
              <w:spacing w:line="360" w:lineRule="auto"/>
              <w:rPr>
                <w:rStyle w:val="7"/>
                <w:rFonts w:hint="default" w:ascii="宋体" w:hAnsi="宋体" w:eastAsia="宋体"/>
                <w:sz w:val="18"/>
                <w:szCs w:val="18"/>
              </w:rPr>
            </w:pPr>
            <w:r>
              <w:rPr>
                <w:rStyle w:val="7"/>
                <w:rFonts w:hint="default" w:ascii="宋体" w:hAnsi="宋体" w:eastAsia="宋体"/>
                <w:sz w:val="18"/>
                <w:szCs w:val="18"/>
              </w:rPr>
              <w:t>违约金 5000 元/项</w:t>
            </w:r>
          </w:p>
        </w:tc>
      </w:tr>
      <w:tr w14:paraId="379C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continue"/>
            <w:vAlign w:val="center"/>
          </w:tcPr>
          <w:p w14:paraId="3DCB7FA0">
            <w:pPr>
              <w:spacing w:line="360" w:lineRule="auto"/>
              <w:rPr>
                <w:rFonts w:hint="eastAsia" w:ascii="宋体" w:hAnsi="宋体" w:eastAsia="宋体"/>
                <w:sz w:val="18"/>
                <w:szCs w:val="18"/>
              </w:rPr>
            </w:pPr>
          </w:p>
        </w:tc>
        <w:tc>
          <w:tcPr>
            <w:tcW w:w="3756" w:type="dxa"/>
            <w:vAlign w:val="center"/>
          </w:tcPr>
          <w:p w14:paraId="42EBF3AB">
            <w:pPr>
              <w:spacing w:line="360" w:lineRule="auto"/>
              <w:rPr>
                <w:rFonts w:hint="eastAsia" w:ascii="宋体" w:hAnsi="宋体" w:eastAsia="宋体"/>
                <w:sz w:val="18"/>
                <w:szCs w:val="18"/>
              </w:rPr>
            </w:pPr>
            <w:r>
              <w:rPr>
                <w:rFonts w:hint="eastAsia" w:ascii="宋体" w:hAnsi="宋体" w:eastAsia="宋体"/>
                <w:sz w:val="18"/>
                <w:szCs w:val="18"/>
              </w:rPr>
              <w:t>质量会议不按要求参加</w:t>
            </w:r>
          </w:p>
        </w:tc>
        <w:tc>
          <w:tcPr>
            <w:tcW w:w="5953" w:type="dxa"/>
            <w:vAlign w:val="center"/>
          </w:tcPr>
          <w:p w14:paraId="70EFB917">
            <w:pPr>
              <w:widowControl/>
              <w:spacing w:line="360" w:lineRule="auto"/>
              <w:rPr>
                <w:rStyle w:val="7"/>
                <w:rFonts w:hint="default" w:ascii="宋体" w:hAnsi="宋体" w:eastAsia="宋体"/>
                <w:sz w:val="18"/>
                <w:szCs w:val="18"/>
              </w:rPr>
            </w:pPr>
            <w:r>
              <w:rPr>
                <w:rStyle w:val="7"/>
                <w:rFonts w:hint="default" w:ascii="宋体" w:hAnsi="宋体" w:eastAsia="宋体"/>
                <w:sz w:val="18"/>
                <w:szCs w:val="18"/>
              </w:rPr>
              <w:t>违约金 5</w:t>
            </w:r>
            <w:r>
              <w:rPr>
                <w:rStyle w:val="7"/>
                <w:rFonts w:hint="default"/>
                <w:sz w:val="18"/>
                <w:szCs w:val="18"/>
              </w:rPr>
              <w:t>000</w:t>
            </w:r>
            <w:r>
              <w:rPr>
                <w:rStyle w:val="7"/>
                <w:rFonts w:hint="default" w:ascii="宋体" w:hAnsi="宋体" w:eastAsia="宋体"/>
                <w:sz w:val="18"/>
                <w:szCs w:val="18"/>
              </w:rPr>
              <w:t xml:space="preserve"> 元/次</w:t>
            </w:r>
          </w:p>
        </w:tc>
      </w:tr>
      <w:tr w14:paraId="6B95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continue"/>
            <w:vAlign w:val="center"/>
          </w:tcPr>
          <w:p w14:paraId="0E313D95">
            <w:pPr>
              <w:spacing w:line="360" w:lineRule="auto"/>
              <w:rPr>
                <w:rFonts w:hint="eastAsia" w:ascii="宋体" w:hAnsi="宋体" w:eastAsia="宋体"/>
                <w:sz w:val="18"/>
                <w:szCs w:val="18"/>
              </w:rPr>
            </w:pPr>
          </w:p>
        </w:tc>
        <w:tc>
          <w:tcPr>
            <w:tcW w:w="3756" w:type="dxa"/>
            <w:vAlign w:val="center"/>
          </w:tcPr>
          <w:p w14:paraId="12142AFD">
            <w:pPr>
              <w:spacing w:line="360" w:lineRule="auto"/>
              <w:rPr>
                <w:rFonts w:hint="eastAsia" w:ascii="宋体" w:hAnsi="宋体" w:eastAsia="宋体"/>
                <w:sz w:val="18"/>
                <w:szCs w:val="18"/>
              </w:rPr>
            </w:pPr>
            <w:r>
              <w:rPr>
                <w:rFonts w:hint="eastAsia" w:ascii="宋体" w:hAnsi="宋体" w:eastAsia="宋体"/>
                <w:sz w:val="18"/>
                <w:szCs w:val="18"/>
              </w:rPr>
              <w:t>质量问题重复发生</w:t>
            </w:r>
          </w:p>
        </w:tc>
        <w:tc>
          <w:tcPr>
            <w:tcW w:w="5953" w:type="dxa"/>
            <w:vAlign w:val="center"/>
          </w:tcPr>
          <w:p w14:paraId="2AC1E5AE">
            <w:pPr>
              <w:widowControl/>
              <w:spacing w:line="360" w:lineRule="auto"/>
              <w:rPr>
                <w:rStyle w:val="7"/>
                <w:rFonts w:hint="default" w:ascii="宋体" w:hAnsi="宋体" w:eastAsia="宋体"/>
                <w:sz w:val="18"/>
                <w:szCs w:val="18"/>
              </w:rPr>
            </w:pPr>
            <w:r>
              <w:rPr>
                <w:rStyle w:val="7"/>
                <w:rFonts w:hint="default" w:ascii="宋体" w:hAnsi="宋体" w:eastAsia="宋体"/>
                <w:sz w:val="18"/>
                <w:szCs w:val="18"/>
              </w:rPr>
              <w:t>违约金 2000 元/次</w:t>
            </w:r>
          </w:p>
        </w:tc>
      </w:tr>
      <w:tr w14:paraId="7B02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continue"/>
            <w:vAlign w:val="center"/>
          </w:tcPr>
          <w:p w14:paraId="52F0C76B">
            <w:pPr>
              <w:spacing w:line="360" w:lineRule="auto"/>
              <w:rPr>
                <w:rFonts w:hint="eastAsia" w:ascii="宋体" w:hAnsi="宋体" w:eastAsia="宋体"/>
                <w:sz w:val="18"/>
                <w:szCs w:val="18"/>
              </w:rPr>
            </w:pPr>
          </w:p>
        </w:tc>
        <w:tc>
          <w:tcPr>
            <w:tcW w:w="3756" w:type="dxa"/>
            <w:vAlign w:val="center"/>
          </w:tcPr>
          <w:p w14:paraId="7A1F41A3">
            <w:pPr>
              <w:rPr>
                <w:rFonts w:hint="eastAsia" w:ascii="宋体" w:hAnsi="宋体" w:eastAsia="宋体"/>
                <w:sz w:val="18"/>
                <w:szCs w:val="18"/>
              </w:rPr>
            </w:pPr>
            <w:r>
              <w:rPr>
                <w:rFonts w:hint="eastAsia" w:ascii="宋体" w:hAnsi="宋体" w:eastAsia="宋体"/>
                <w:sz w:val="18"/>
                <w:szCs w:val="18"/>
              </w:rPr>
              <w:t>质量问题未按规定时间及要求处置</w:t>
            </w:r>
          </w:p>
        </w:tc>
        <w:tc>
          <w:tcPr>
            <w:tcW w:w="5953" w:type="dxa"/>
            <w:vAlign w:val="center"/>
          </w:tcPr>
          <w:p w14:paraId="1C260E64">
            <w:pPr>
              <w:widowControl/>
              <w:spacing w:line="360" w:lineRule="auto"/>
              <w:rPr>
                <w:rStyle w:val="7"/>
                <w:rFonts w:hint="default" w:ascii="宋体" w:hAnsi="宋体" w:eastAsia="宋体"/>
                <w:sz w:val="18"/>
                <w:szCs w:val="18"/>
              </w:rPr>
            </w:pPr>
            <w:r>
              <w:rPr>
                <w:rStyle w:val="7"/>
                <w:rFonts w:hint="default" w:ascii="宋体" w:hAnsi="宋体" w:eastAsia="宋体"/>
                <w:sz w:val="18"/>
                <w:szCs w:val="18"/>
              </w:rPr>
              <w:t>违约金 2000 元/次</w:t>
            </w:r>
          </w:p>
        </w:tc>
      </w:tr>
    </w:tbl>
    <w:p w14:paraId="66EE4402">
      <w:pPr>
        <w:rPr>
          <w:rFonts w:hint="eastAsia" w:ascii="楷体" w:hAnsi="楷体" w:eastAsia="楷体"/>
          <w:b/>
          <w:bCs/>
          <w:sz w:val="24"/>
          <w:szCs w:val="24"/>
        </w:rPr>
      </w:pPr>
      <w:r>
        <w:rPr>
          <w:rFonts w:hint="eastAsia" w:ascii="楷体" w:hAnsi="楷体" w:eastAsia="楷体"/>
          <w:b/>
          <w:bCs/>
          <w:sz w:val="24"/>
          <w:szCs w:val="24"/>
        </w:rPr>
        <w:t>*备注：1、客户端发生的除产品性能指标及加工应用外的其他外观质量问题，均视为乙方责任（如受潮、外袋脏污、异物、吨袋破损等质量问题）</w:t>
      </w:r>
    </w:p>
    <w:p w14:paraId="77A47300">
      <w:pPr>
        <w:rPr>
          <w:rFonts w:hint="eastAsia" w:ascii="楷体" w:hAnsi="楷体" w:eastAsia="楷体"/>
          <w:b/>
          <w:bCs/>
          <w:sz w:val="24"/>
          <w:szCs w:val="24"/>
        </w:rPr>
      </w:pPr>
      <w:r>
        <w:rPr>
          <w:rFonts w:hint="eastAsia" w:ascii="楷体" w:hAnsi="楷体" w:eastAsia="楷体"/>
          <w:b/>
          <w:bCs/>
          <w:sz w:val="24"/>
          <w:szCs w:val="24"/>
        </w:rPr>
        <w:t>2、上述质量问题均指由乙方操作可能导致的质量问题。如实际判定与乙方操作无关的，乙方不承担上述质量问题造成的任何损失。</w:t>
      </w:r>
    </w:p>
    <w:p w14:paraId="6521E8C5">
      <w:pPr>
        <w:spacing w:line="360" w:lineRule="auto"/>
        <w:rPr>
          <w:rFonts w:hint="eastAsia" w:ascii="楷体" w:hAnsi="楷体" w:eastAsia="楷体"/>
          <w:color w:val="000000"/>
          <w:sz w:val="24"/>
          <w:szCs w:val="24"/>
        </w:rPr>
      </w:pPr>
      <w:r>
        <w:rPr>
          <w:rFonts w:ascii="楷体" w:hAnsi="楷体" w:eastAsia="楷体"/>
          <w:color w:val="000000"/>
          <w:sz w:val="24"/>
          <w:szCs w:val="24"/>
        </w:rPr>
        <w:t>7.质量申诉</w:t>
      </w:r>
    </w:p>
    <w:p w14:paraId="2CFC706E">
      <w:pPr>
        <w:spacing w:line="360" w:lineRule="auto"/>
        <w:rPr>
          <w:rFonts w:hint="eastAsia" w:ascii="楷体" w:hAnsi="楷体" w:eastAsia="楷体"/>
          <w:color w:val="000000"/>
          <w:sz w:val="24"/>
          <w:szCs w:val="24"/>
        </w:rPr>
      </w:pPr>
      <w:r>
        <w:rPr>
          <w:rFonts w:ascii="楷体" w:hAnsi="楷体" w:eastAsia="楷体"/>
          <w:color w:val="000000"/>
          <w:sz w:val="24"/>
          <w:szCs w:val="24"/>
        </w:rPr>
        <w:t xml:space="preserve">7.1 乙方收到索赔通知函后，认为并非自身质量原因造成的，乙方可以向甲方提起申诉申请。乙方收函后超过 </w:t>
      </w:r>
      <w:r>
        <w:rPr>
          <w:rFonts w:hint="eastAsia" w:ascii="楷体" w:hAnsi="楷体" w:eastAsia="楷体"/>
          <w:color w:val="000000"/>
          <w:sz w:val="24"/>
          <w:szCs w:val="24"/>
        </w:rPr>
        <w:t>7</w:t>
      </w:r>
      <w:r>
        <w:rPr>
          <w:rFonts w:ascii="楷体" w:hAnsi="楷体" w:eastAsia="楷体"/>
          <w:color w:val="000000"/>
          <w:sz w:val="24"/>
          <w:szCs w:val="24"/>
        </w:rPr>
        <w:t xml:space="preserve"> 个工作日未书面回应的，则视为同意索赔。</w:t>
      </w:r>
    </w:p>
    <w:p w14:paraId="5A764863">
      <w:pPr>
        <w:spacing w:line="360" w:lineRule="auto"/>
        <w:rPr>
          <w:rFonts w:hint="eastAsia" w:ascii="楷体" w:hAnsi="楷体" w:eastAsia="楷体"/>
          <w:color w:val="000000"/>
          <w:sz w:val="24"/>
          <w:szCs w:val="24"/>
        </w:rPr>
      </w:pPr>
      <w:r>
        <w:rPr>
          <w:rFonts w:ascii="楷体" w:hAnsi="楷体" w:eastAsia="楷体"/>
          <w:color w:val="000000"/>
          <w:sz w:val="24"/>
          <w:szCs w:val="24"/>
        </w:rPr>
        <w:t>7.2 乙方接到甲方索赔通知函后， 应在 3 个工作日内对不良品进行质量确认，若乙方认为存在非乙方质量问题的失效件，可以向甲方集团质量管理部提出申诉，集团质量管理部将处理结果向乙方反馈。若乙方对处理结果不满意的，应以双方认可的第三方权威机构的认定为准。</w:t>
      </w:r>
    </w:p>
    <w:p w14:paraId="21CBEFAA">
      <w:pPr>
        <w:spacing w:line="360" w:lineRule="auto"/>
        <w:rPr>
          <w:rFonts w:hint="eastAsia" w:ascii="楷体" w:hAnsi="楷体" w:eastAsia="楷体"/>
          <w:color w:val="000000"/>
          <w:sz w:val="24"/>
          <w:szCs w:val="24"/>
        </w:rPr>
      </w:pPr>
      <w:r>
        <w:rPr>
          <w:rFonts w:ascii="楷体" w:hAnsi="楷体" w:eastAsia="楷体"/>
          <w:color w:val="000000"/>
          <w:sz w:val="24"/>
          <w:szCs w:val="24"/>
        </w:rPr>
        <w:t>7.3 申诉过程中的检测费用由责任方承担。</w:t>
      </w:r>
    </w:p>
    <w:p w14:paraId="3DBE2178">
      <w:pPr>
        <w:spacing w:line="360" w:lineRule="auto"/>
        <w:rPr>
          <w:rFonts w:hint="eastAsia" w:ascii="楷体" w:hAnsi="楷体" w:eastAsia="楷体"/>
          <w:color w:val="000000"/>
          <w:sz w:val="24"/>
          <w:szCs w:val="24"/>
        </w:rPr>
      </w:pPr>
      <w:r>
        <w:rPr>
          <w:rFonts w:ascii="楷体" w:hAnsi="楷体" w:eastAsia="楷体"/>
          <w:color w:val="000000"/>
          <w:sz w:val="24"/>
          <w:szCs w:val="24"/>
        </w:rPr>
        <w:t>8.保密条款</w:t>
      </w:r>
    </w:p>
    <w:p w14:paraId="565AFB53">
      <w:pPr>
        <w:spacing w:line="360" w:lineRule="auto"/>
        <w:rPr>
          <w:rFonts w:hint="eastAsia" w:ascii="楷体" w:hAnsi="楷体" w:eastAsia="楷体"/>
          <w:color w:val="000000"/>
          <w:sz w:val="24"/>
          <w:szCs w:val="24"/>
        </w:rPr>
      </w:pPr>
      <w:r>
        <w:rPr>
          <w:rFonts w:ascii="楷体" w:hAnsi="楷体" w:eastAsia="楷体"/>
          <w:color w:val="000000"/>
          <w:sz w:val="24"/>
          <w:szCs w:val="24"/>
        </w:rPr>
        <w:t>8.1 乙方应严格保守甲方的商业机密和其他信息，本条规定在本协议终止后继续有效。</w:t>
      </w:r>
    </w:p>
    <w:p w14:paraId="119A704C">
      <w:pPr>
        <w:spacing w:line="360" w:lineRule="auto"/>
        <w:rPr>
          <w:rFonts w:hint="eastAsia" w:ascii="楷体" w:hAnsi="楷体" w:eastAsia="楷体"/>
          <w:color w:val="000000"/>
          <w:sz w:val="24"/>
          <w:szCs w:val="24"/>
        </w:rPr>
      </w:pPr>
      <w:r>
        <w:rPr>
          <w:rFonts w:ascii="楷体" w:hAnsi="楷体" w:eastAsia="楷体"/>
          <w:color w:val="000000"/>
          <w:sz w:val="24"/>
          <w:szCs w:val="24"/>
        </w:rPr>
        <w:t>8.2 双方终止供货合同后 15 日内，乙方有义务和责任全部返还甲方产品相关的技术资料原件，乙方不得留存、复制或转交给任何第三人，否则乙方应承担给甲方造成的一切损失，同时甲方保留进一步追究乙方法律责任的权利。</w:t>
      </w:r>
    </w:p>
    <w:p w14:paraId="577BD1E9">
      <w:pPr>
        <w:spacing w:line="360" w:lineRule="auto"/>
        <w:rPr>
          <w:rFonts w:hint="eastAsia" w:ascii="楷体" w:hAnsi="楷体" w:eastAsia="楷体"/>
          <w:color w:val="000000"/>
          <w:sz w:val="24"/>
          <w:szCs w:val="24"/>
        </w:rPr>
      </w:pPr>
      <w:r>
        <w:rPr>
          <w:rFonts w:ascii="楷体" w:hAnsi="楷体" w:eastAsia="楷体"/>
          <w:color w:val="000000"/>
          <w:sz w:val="24"/>
          <w:szCs w:val="24"/>
        </w:rPr>
        <w:t>9、 本协议壹式贰份， 甲乙双方各执壹份，均具有同等法律效力， 双方签字盖章后生效。本协议生效后在此之前签订的其它版本质量保证协议予以作废。</w:t>
      </w:r>
    </w:p>
    <w:p w14:paraId="12D0D99D">
      <w:pPr>
        <w:spacing w:line="360" w:lineRule="auto"/>
        <w:rPr>
          <w:rFonts w:hint="eastAsia" w:ascii="楷体" w:hAnsi="楷体" w:eastAsia="楷体"/>
          <w:color w:val="000000"/>
          <w:sz w:val="24"/>
          <w:szCs w:val="24"/>
        </w:rPr>
      </w:pPr>
      <w:r>
        <w:rPr>
          <w:rFonts w:ascii="楷体" w:hAnsi="楷体" w:eastAsia="楷体"/>
          <w:color w:val="000000"/>
          <w:sz w:val="24"/>
          <w:szCs w:val="24"/>
        </w:rPr>
        <w:t>10、 清洁条款</w:t>
      </w:r>
    </w:p>
    <w:p w14:paraId="4C83F98C">
      <w:pPr>
        <w:spacing w:line="360" w:lineRule="auto"/>
        <w:rPr>
          <w:rFonts w:hint="eastAsia" w:ascii="楷体" w:hAnsi="楷体" w:eastAsia="楷体"/>
          <w:color w:val="000000"/>
          <w:sz w:val="24"/>
          <w:szCs w:val="24"/>
        </w:rPr>
      </w:pPr>
      <w:r>
        <w:rPr>
          <w:rFonts w:ascii="楷体" w:hAnsi="楷体" w:eastAsia="楷体"/>
          <w:color w:val="000000"/>
          <w:sz w:val="24"/>
          <w:szCs w:val="24"/>
        </w:rPr>
        <w:t>本协议正文部分为清洁打印文本，正文中任何非打印文字及图形均不具法律效力。经双方协商一致需对本协议进行修改时可签定补充协议，补充协议与本合同具同等效力。（以下无正文）</w:t>
      </w:r>
    </w:p>
    <w:p w14:paraId="06E11CB9">
      <w:pPr>
        <w:rPr>
          <w:rFonts w:hint="eastAsia" w:ascii="楷体" w:hAnsi="楷体" w:eastAsia="楷体"/>
          <w:color w:val="000000"/>
          <w:sz w:val="24"/>
          <w:szCs w:val="24"/>
        </w:rPr>
      </w:pPr>
    </w:p>
    <w:p w14:paraId="1C9BFA55">
      <w:pPr>
        <w:jc w:val="center"/>
        <w:rPr>
          <w:rFonts w:hint="eastAsia" w:ascii="楷体" w:hAnsi="楷体" w:eastAsia="楷体"/>
          <w:color w:val="000000"/>
          <w:sz w:val="24"/>
          <w:szCs w:val="24"/>
        </w:rPr>
      </w:pPr>
      <w:r>
        <w:rPr>
          <w:rFonts w:ascii="楷体" w:hAnsi="楷体" w:eastAsia="楷体"/>
          <w:color w:val="000000"/>
          <w:sz w:val="24"/>
          <w:szCs w:val="24"/>
        </w:rPr>
        <w:t>甲方（盖章）：                              乙方（盖章）：</w:t>
      </w:r>
    </w:p>
    <w:p w14:paraId="63278631">
      <w:pPr>
        <w:jc w:val="center"/>
        <w:rPr>
          <w:rFonts w:hint="eastAsia" w:ascii="楷体" w:hAnsi="楷体" w:eastAsia="楷体"/>
          <w:color w:val="000000"/>
          <w:sz w:val="24"/>
          <w:szCs w:val="24"/>
        </w:rPr>
      </w:pPr>
    </w:p>
    <w:p w14:paraId="604054DD">
      <w:pPr>
        <w:jc w:val="center"/>
        <w:rPr>
          <w:rFonts w:hint="eastAsia" w:ascii="楷体" w:hAnsi="楷体" w:eastAsia="楷体"/>
          <w:color w:val="000000"/>
          <w:sz w:val="24"/>
          <w:szCs w:val="24"/>
        </w:rPr>
      </w:pPr>
      <w:r>
        <w:rPr>
          <w:rFonts w:ascii="楷体" w:hAnsi="楷体" w:eastAsia="楷体"/>
          <w:color w:val="000000"/>
          <w:sz w:val="24"/>
          <w:szCs w:val="24"/>
        </w:rPr>
        <w:t>代表（签字）：                              代表（签字）：</w:t>
      </w:r>
    </w:p>
    <w:p w14:paraId="72DFA670">
      <w:pPr>
        <w:jc w:val="center"/>
        <w:rPr>
          <w:rFonts w:hint="eastAsia" w:ascii="楷体" w:hAnsi="楷体" w:eastAsia="楷体"/>
          <w:color w:val="000000"/>
          <w:sz w:val="24"/>
          <w:szCs w:val="24"/>
        </w:rPr>
      </w:pPr>
    </w:p>
    <w:p w14:paraId="1C3F385F">
      <w:pPr>
        <w:ind w:firstLine="720" w:firstLineChars="300"/>
        <w:jc w:val="center"/>
        <w:rPr>
          <w:rFonts w:hint="eastAsia" w:ascii="楷体" w:hAnsi="楷体" w:eastAsia="楷体"/>
          <w:color w:val="000000"/>
          <w:sz w:val="24"/>
          <w:szCs w:val="24"/>
        </w:rPr>
      </w:pPr>
      <w:r>
        <w:rPr>
          <w:rFonts w:ascii="楷体" w:hAnsi="楷体" w:eastAsia="楷体"/>
          <w:color w:val="000000"/>
          <w:sz w:val="24"/>
          <w:szCs w:val="24"/>
        </w:rPr>
        <w:t>日期：                                     日期：</w:t>
      </w:r>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523826"/>
      <w:docPartObj>
        <w:docPartGallery w:val="AutoText"/>
      </w:docPartObj>
    </w:sdtPr>
    <w:sdtContent>
      <w:sdt>
        <w:sdtPr>
          <w:id w:val="1728636285"/>
          <w:docPartObj>
            <w:docPartGallery w:val="AutoText"/>
          </w:docPartObj>
        </w:sdtPr>
        <w:sdtContent>
          <w:p w14:paraId="601DBA1E">
            <w:pPr>
              <w:pStyle w:val="2"/>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2D03A1A">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045A5">
    <w:pPr>
      <w:pStyle w:val="3"/>
      <w:jc w:val="right"/>
      <w:rPr>
        <w:rFonts w:hint="eastAsia" w:ascii="楷体" w:hAnsi="楷体" w:eastAsia="楷体"/>
      </w:rPr>
    </w:pPr>
    <w:r>
      <w:rPr>
        <w:sz w:val="21"/>
        <w:szCs w:val="21"/>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173990</wp:posOffset>
              </wp:positionV>
              <wp:extent cx="6686550" cy="0"/>
              <wp:effectExtent l="0" t="0" r="0" b="0"/>
              <wp:wrapNone/>
              <wp:docPr id="1857869066" name="直接连接符 1"/>
              <wp:cNvGraphicFramePr/>
              <a:graphic xmlns:a="http://schemas.openxmlformats.org/drawingml/2006/main">
                <a:graphicData uri="http://schemas.microsoft.com/office/word/2010/wordprocessingShape">
                  <wps:wsp>
                    <wps:cNvCnPr/>
                    <wps:spPr>
                      <a:xfrm>
                        <a:off x="0" y="0"/>
                        <a:ext cx="668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o:spt="20" style="position:absolute;left:0pt;margin-left:0.75pt;margin-top:13.7pt;height:0pt;width:526.5pt;z-index:251660288;mso-width-relative:page;mso-height-relative:page;" filled="f" stroked="t" coordsize="21600,21600" o:gfxdata="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1EhdjTAAAA&#10;CAEAAA8AAAAAAAAAAQAgAAAAIgAAAGRycy9kb3ducmV2LnhtbFBLAQIUABQAAAAIAIdO4kCpK3Ey&#10;6QEAALoDAAAOAAAAAAAAAAEAIAAAACIBAABkcnMvZTJvRG9jLnhtbFBLBQYAAAAABgAGAFkBAAB9&#10;BQAAAAA=&#10;">
              <v:fill on="f" focussize="0,0"/>
              <v:stroke weight="0.5pt" color="#000000 [3200]" miterlimit="8" joinstyle="miter"/>
              <v:imagedata o:title=""/>
              <o:lock v:ext="edit" aspectratio="f"/>
            </v:line>
          </w:pict>
        </mc:Fallback>
      </mc:AlternateContent>
    </w:r>
    <w:r>
      <w:rPr>
        <w:sz w:val="21"/>
        <w:szCs w:val="21"/>
      </w:rPr>
      <w:drawing>
        <wp:anchor distT="0" distB="0" distL="114300" distR="114300" simplePos="0" relativeHeight="251659264" behindDoc="1" locked="0" layoutInCell="1" allowOverlap="1">
          <wp:simplePos x="0" y="0"/>
          <wp:positionH relativeFrom="margin">
            <wp:align>left</wp:align>
          </wp:positionH>
          <wp:positionV relativeFrom="paragraph">
            <wp:posOffset>-85725</wp:posOffset>
          </wp:positionV>
          <wp:extent cx="1245235" cy="269875"/>
          <wp:effectExtent l="0" t="0" r="0" b="0"/>
          <wp:wrapNone/>
          <wp:docPr id="29641710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17104"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45235" cy="269875"/>
                  </a:xfrm>
                  <a:prstGeom prst="rect">
                    <a:avLst/>
                  </a:prstGeom>
                  <a:noFill/>
                  <a:ln>
                    <a:noFill/>
                  </a:ln>
                </pic:spPr>
              </pic:pic>
            </a:graphicData>
          </a:graphic>
        </wp:anchor>
      </w:drawing>
    </w:r>
    <w:r>
      <w:rPr>
        <w:rFonts w:hint="eastAsia" w:ascii="楷体" w:hAnsi="楷体" w:eastAsia="楷体"/>
        <w:sz w:val="21"/>
        <w:szCs w:val="21"/>
      </w:rPr>
      <w:t>福建科达新能源科技有限公司</w:t>
    </w:r>
    <w:r>
      <w:rPr>
        <w:rFonts w:hint="eastAsia" w:ascii="楷体" w:hAnsi="楷体" w:eastAsia="楷体"/>
      </w:rPr>
      <w:t xml:space="preserve"> </w:t>
    </w:r>
    <w:r>
      <w:rPr>
        <w:rFonts w:ascii="楷体" w:hAnsi="楷体" w:eastAsia="楷体"/>
      </w:rPr>
      <w:t xml:space="preserve">                            QW.06-038-A/1</w:t>
    </w:r>
  </w:p>
  <w:p w14:paraId="55EE0C00">
    <w:pPr>
      <w:pStyle w:val="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73166"/>
    <w:multiLevelType w:val="multilevel"/>
    <w:tmpl w:val="30073166"/>
    <w:lvl w:ilvl="0" w:tentative="0">
      <w:start w:val="1"/>
      <w:numFmt w:val="decimal"/>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46F"/>
    <w:rsid w:val="0002123D"/>
    <w:rsid w:val="000551F1"/>
    <w:rsid w:val="000B4998"/>
    <w:rsid w:val="001153B2"/>
    <w:rsid w:val="00143873"/>
    <w:rsid w:val="001462FC"/>
    <w:rsid w:val="001B7EB8"/>
    <w:rsid w:val="002B0D66"/>
    <w:rsid w:val="003222FD"/>
    <w:rsid w:val="00342C44"/>
    <w:rsid w:val="00360915"/>
    <w:rsid w:val="003A2D9B"/>
    <w:rsid w:val="003C570A"/>
    <w:rsid w:val="00452711"/>
    <w:rsid w:val="00515163"/>
    <w:rsid w:val="00571391"/>
    <w:rsid w:val="00571AF5"/>
    <w:rsid w:val="00620080"/>
    <w:rsid w:val="00694995"/>
    <w:rsid w:val="006C42D9"/>
    <w:rsid w:val="00722C6C"/>
    <w:rsid w:val="00774AAD"/>
    <w:rsid w:val="007B446F"/>
    <w:rsid w:val="007F5F09"/>
    <w:rsid w:val="008250B4"/>
    <w:rsid w:val="00837B59"/>
    <w:rsid w:val="0084216E"/>
    <w:rsid w:val="00844177"/>
    <w:rsid w:val="00852B5E"/>
    <w:rsid w:val="008D6B4B"/>
    <w:rsid w:val="00916A7A"/>
    <w:rsid w:val="0092395A"/>
    <w:rsid w:val="00923C43"/>
    <w:rsid w:val="00956CD4"/>
    <w:rsid w:val="009A07D6"/>
    <w:rsid w:val="009D72AD"/>
    <w:rsid w:val="009E6067"/>
    <w:rsid w:val="00A87F3F"/>
    <w:rsid w:val="00B02C9F"/>
    <w:rsid w:val="00B75AA3"/>
    <w:rsid w:val="00B90D42"/>
    <w:rsid w:val="00C67C9E"/>
    <w:rsid w:val="00D56760"/>
    <w:rsid w:val="00D6254C"/>
    <w:rsid w:val="00D9371C"/>
    <w:rsid w:val="00DF6AF8"/>
    <w:rsid w:val="00E35E5F"/>
    <w:rsid w:val="00E722AF"/>
    <w:rsid w:val="00EB47F3"/>
    <w:rsid w:val="00F72D7B"/>
    <w:rsid w:val="2840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style01"/>
    <w:basedOn w:val="6"/>
    <w:qFormat/>
    <w:uiPriority w:val="0"/>
    <w:rPr>
      <w:rFonts w:hint="eastAsia" w:ascii="楷体" w:hAnsi="楷体" w:eastAsia="楷体"/>
      <w:color w:val="000000"/>
      <w:sz w:val="48"/>
      <w:szCs w:val="48"/>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1874</Words>
  <Characters>1954</Characters>
  <Lines>33</Lines>
  <Paragraphs>9</Paragraphs>
  <TotalTime>3</TotalTime>
  <ScaleCrop>false</ScaleCrop>
  <LinksUpToDate>false</LinksUpToDate>
  <CharactersWithSpaces>2094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2025-03-17T12:56:00Z</dcterms:created>
  <dc:creator>陶 宗华</dc:creator>
  <cp:lastModifiedBy>维谷</cp:lastModifiedBy>
  <cp:lastPrinted>2024-03-06T09:38:00Z</cp:lastPrinted>
  <dcterms:modified xsi:type="dcterms:W3CDTF">2025-04-29T05:05:58Z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eyJoZGlkIjoiNzRmNGI1ZGQ5NjJhZGJhMGVkY2M4OTljY2Q2YzIzMWIiLCJ1c2VySWQiOiIzODA0MDMyMDIifQ==</vt:lpwstr>
  </property>
  <property fmtid="{D5CDD505-2E9C-101B-9397-08002B2CF9AE}" pid="3" name="KSOProductBuildVer">
    <vt:lpwstr>2052-12.1.0.20784</vt:lpwstr>
  </property>
  <property fmtid="{D5CDD505-2E9C-101B-9397-08002B2CF9AE}" pid="4" name="ICV">
    <vt:lpwstr>92648A318F604692AB589BCFBEC2E2FD_12</vt:lpwstr>
  </property>
</Properties>
</file>