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12DF6"/>
    <w:p w14:paraId="0AAA734E">
      <w:pPr>
        <w:pStyle w:val="2"/>
        <w:snapToGrid w:val="0"/>
        <w:spacing w:line="240" w:lineRule="auto"/>
        <w:rPr>
          <w:rFonts w:ascii="MiSans Light" w:hAnsi="MiSans Light" w:eastAsia="MiSans Light"/>
        </w:rPr>
      </w:pPr>
      <w:r>
        <w:rPr>
          <w:rFonts w:ascii="MiSans Light" w:hAnsi="MiSans Light" w:eastAsia="MiSans Light"/>
        </w:rPr>
        <w:t>附</w:t>
      </w:r>
      <w:r>
        <w:rPr>
          <w:rFonts w:hint="eastAsia" w:ascii="MiSans Light" w:hAnsi="MiSans Light" w:eastAsia="MiSans Light"/>
        </w:rPr>
        <w:t>件1</w:t>
      </w:r>
      <w:r>
        <w:rPr>
          <w:rFonts w:ascii="MiSans Light" w:hAnsi="MiSans Light" w:eastAsia="MiSans Light"/>
        </w:rPr>
        <w:t>：</w:t>
      </w:r>
      <w:r>
        <w:rPr>
          <w:rFonts w:hint="eastAsia" w:ascii="MiSans Light" w:hAnsi="MiSans Light" w:eastAsia="MiSans Light"/>
        </w:rPr>
        <w:t>资格</w:t>
      </w:r>
      <w:r>
        <w:rPr>
          <w:rFonts w:ascii="MiSans Light" w:hAnsi="MiSans Light" w:eastAsia="MiSans Light"/>
        </w:rPr>
        <w:t>预审</w:t>
      </w:r>
      <w:r>
        <w:rPr>
          <w:rFonts w:hint="eastAsia" w:ascii="MiSans Light" w:hAnsi="MiSans Light" w:eastAsia="MiSans Light"/>
        </w:rPr>
        <w:t>一览表</w:t>
      </w:r>
      <w:r>
        <w:rPr>
          <w:rFonts w:ascii="MiSans Light" w:hAnsi="MiSans Light" w:eastAsia="MiSans Light"/>
        </w:rPr>
        <w:t>及评分标准</w:t>
      </w:r>
    </w:p>
    <w:tbl>
      <w:tblPr>
        <w:tblStyle w:val="3"/>
        <w:tblW w:w="8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671"/>
        <w:gridCol w:w="566"/>
        <w:gridCol w:w="4965"/>
        <w:gridCol w:w="1058"/>
      </w:tblGrid>
      <w:tr w14:paraId="0AABD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B9CD2">
            <w:pPr>
              <w:widowControl/>
              <w:spacing w:line="2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年福建科达新能源科技有限公司</w:t>
            </w: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煅后焦及增碳剂换货项目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资格预审表</w:t>
            </w:r>
          </w:p>
        </w:tc>
      </w:tr>
      <w:tr w14:paraId="4D321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 w14:paraId="1A858017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 w14:paraId="4B1CD438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5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 w14:paraId="49AC37B9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分值</w:t>
            </w:r>
          </w:p>
        </w:tc>
        <w:tc>
          <w:tcPr>
            <w:tcW w:w="49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noWrap/>
            <w:vAlign w:val="center"/>
          </w:tcPr>
          <w:p w14:paraId="76FBB389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E7E6E6"/>
            <w:noWrap/>
            <w:vAlign w:val="center"/>
          </w:tcPr>
          <w:p w14:paraId="1EB8800D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对应资格预审位置</w:t>
            </w:r>
          </w:p>
        </w:tc>
      </w:tr>
      <w:tr w14:paraId="446A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9E4B5">
            <w:pPr>
              <w:widowControl/>
              <w:spacing w:line="16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bookmarkStart w:id="0" w:name="OLE_LINK1" w:colFirst="1" w:colLast="3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E19F">
            <w:pPr>
              <w:widowControl/>
              <w:spacing w:line="160" w:lineRule="atLeast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区位优势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0EAD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CD06">
            <w:pPr>
              <w:widowControl/>
              <w:spacing w:line="160" w:lineRule="atLeast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 地理区位匹配度：供应商/投标人注册/经营地址在项目所在地（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省/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市/区）得满分，属地外按距离梯度扣分（如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在一千三百公里内扣1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0%、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超一千三百公里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扣50%-100%）；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FB5CFA1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7F48F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AD954">
            <w:pPr>
              <w:widowControl/>
              <w:spacing w:line="16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2B05F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增碳剂加工能力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4789">
            <w:pPr>
              <w:widowControl/>
              <w:spacing w:line="160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3087">
            <w:pPr>
              <w:widowControl/>
              <w:spacing w:line="160" w:lineRule="atLeast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加工产能规模：按年加工增碳剂核定产能分档打分，如≥5万吨得满分、3-5万吨得70%分、1-3万吨得40%分、＜1万吨不得分（需提供产能核定报告、生产许可证）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045383D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2F43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4200D">
            <w:pPr>
              <w:widowControl/>
              <w:spacing w:line="16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9551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销售实力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75B8">
            <w:pPr>
              <w:widowControl/>
              <w:spacing w:line="160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D996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销售规模与业绩：按近1-3年增碳剂年度/累计销售额分档打分（如近3年累计≥5000万元得满分、3000-5000万元得70%分、1000-3000万元得40%分、＜1000万元不得分），需提供销售合同、发票、回款凭证（需体现增碳剂品类、金额、时间）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AD9E036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0D2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0954D">
            <w:pPr>
              <w:widowControl/>
              <w:spacing w:line="16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66FA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投标人具有良好的商业信誉。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17DD">
            <w:pPr>
              <w:widowControl/>
              <w:spacing w:line="16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93F1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1）在国家企业信用信息公示系统中无与本投标业务有关的经济处罚，无处罚信息得5分，有处罚信息得0分。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2）未列入经营异常名录和列入严重违法失信企业名单(黑名单) 信息或上述信息已被移除的声明。无异常得5分，有异常得0分。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25235B8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266C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ABF78">
            <w:pPr>
              <w:widowControl/>
              <w:spacing w:line="16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bookmarkStart w:id="1" w:name="_GoBack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73CC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投标人在近三年内在经营活动中无重大违法、违规的不良记录。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5A85">
            <w:pPr>
              <w:widowControl/>
              <w:spacing w:line="16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EF00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从国家企业信用公示系统、企查查等询征系统提供证据，有提供且满足要求得10分；有重大违法、违规不良记录或者未提供证明得0分。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93C647C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bookmarkEnd w:id="1"/>
      <w:tr w14:paraId="0E7D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C48CB">
            <w:pPr>
              <w:widowControl/>
              <w:spacing w:line="16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6FA1C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注册资金不少于200万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CA65B">
            <w:pPr>
              <w:widowControl/>
              <w:spacing w:line="16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32D4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注册资金低于200万，得0分；注册资金在200万-500万之间，得5分；注册资金大于500万，得10分。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873C78E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5C41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F8D2D">
            <w:pPr>
              <w:widowControl/>
              <w:spacing w:line="16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CF6EC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财务状况。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A798">
            <w:pPr>
              <w:widowControl/>
              <w:spacing w:line="160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92FD">
            <w:pPr>
              <w:widowControl/>
              <w:spacing w:line="160" w:lineRule="atLeas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按近1-2年经审计的净资产/注册资本分档打分（如净资产≥5000万元得满分、3000-5000万元得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0%分、1000-3000万元得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0%分、＜1000万元不得分），需提供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财务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数据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（含资产负债表）、营业执照（注册资本页）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00B35C9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bookmarkEnd w:id="0"/>
      <w:tr w14:paraId="0E3AB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150DF2C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00A516A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D259B9D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DCF184E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220145">
            <w:pPr>
              <w:widowControl/>
              <w:spacing w:line="16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18B174BA">
      <w:pPr>
        <w:bidi w:val="0"/>
        <w:ind w:firstLine="386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 Light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YTExNTQ3YjhkZjQ4Y2E0MTg1Y2JmNjhhY2JjYmUifQ=="/>
  </w:docVars>
  <w:rsids>
    <w:rsidRoot w:val="0EC27073"/>
    <w:rsid w:val="00380186"/>
    <w:rsid w:val="0EC27073"/>
    <w:rsid w:val="29DD2FD2"/>
    <w:rsid w:val="54682041"/>
    <w:rsid w:val="77A70E70"/>
    <w:rsid w:val="788F00C3"/>
    <w:rsid w:val="78F7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782</Characters>
  <Lines>0</Lines>
  <Paragraphs>0</Paragraphs>
  <TotalTime>53</TotalTime>
  <ScaleCrop>false</ScaleCrop>
  <LinksUpToDate>false</LinksUpToDate>
  <CharactersWithSpaces>794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2025-05-30T02:28:00Z</dcterms:created>
  <dc:creator>You</dc:creator>
  <cp:lastModifiedBy>平凡中的陪伴</cp:lastModifiedBy>
  <dcterms:modified xsi:type="dcterms:W3CDTF">2026-01-22T06:52:27Z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E54D268429084DAFB8249D99EFFE5F71_11</vt:lpwstr>
  </property>
  <property fmtid="{D5CDD505-2E9C-101B-9397-08002B2CF9AE}" pid="4" name="KSOTemplateDocerSaveRecord">
    <vt:lpwstr>eyJoZGlkIjoiY2RmOWM1NzU1NjMyN2M3YzA1NGI4ODQyZjRkMmJiMzUiLCJ1c2VySWQiOiIzMTk0MjIxMTEifQ==</vt:lpwstr>
  </property>
</Properties>
</file>