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9663">
      <w:pPr>
        <w:pStyle w:val="7"/>
        <w:snapToGrid w:val="0"/>
        <w:ind w:right="31" w:rightChars="15"/>
        <w:jc w:val="center"/>
        <w:rPr>
          <w:rFonts w:hint="eastAsia" w:ascii="MiSans Light" w:hAnsi="MiSans Light" w:eastAsia="MiSans Light" w:cs="黑体"/>
          <w:b/>
          <w:bCs/>
          <w:sz w:val="48"/>
          <w:szCs w:val="48"/>
        </w:rPr>
      </w:pPr>
      <w:r>
        <w:rPr>
          <w:rFonts w:hint="eastAsia" w:cs="宋体"/>
          <w:sz w:val="24"/>
          <w:szCs w:val="24"/>
        </w:rPr>
        <w:tab/>
      </w:r>
      <w:r>
        <w:rPr>
          <w:rFonts w:hint="eastAsia" w:ascii="MiSans Light" w:hAnsi="MiSans Light" w:eastAsia="MiSans Light" w:cs="黑体"/>
          <w:b/>
          <w:bCs/>
          <w:sz w:val="48"/>
          <w:szCs w:val="48"/>
        </w:rPr>
        <w:t>福建科达新能源科技有限公司</w:t>
      </w:r>
    </w:p>
    <w:p w14:paraId="5B3977AD">
      <w:pPr>
        <w:pStyle w:val="7"/>
        <w:snapToGrid w:val="0"/>
        <w:ind w:right="31" w:rightChars="15"/>
        <w:jc w:val="center"/>
        <w:rPr>
          <w:rFonts w:hint="eastAsia" w:ascii="MiSans Light" w:hAnsi="MiSans Light" w:eastAsia="MiSans Light" w:cs="黑体"/>
          <w:b/>
          <w:bCs/>
          <w:sz w:val="32"/>
          <w:szCs w:val="32"/>
        </w:rPr>
      </w:pPr>
    </w:p>
    <w:p w14:paraId="7D49AB33">
      <w:pPr>
        <w:pStyle w:val="7"/>
        <w:snapToGrid w:val="0"/>
        <w:ind w:right="-197" w:rightChars="-94"/>
        <w:jc w:val="center"/>
        <w:rPr>
          <w:rFonts w:hint="eastAsia" w:ascii="MiSans Light" w:hAnsi="MiSans Light" w:eastAsia="MiSans Light" w:cs="黑体"/>
          <w:b/>
          <w:bCs/>
          <w:sz w:val="32"/>
          <w:szCs w:val="32"/>
        </w:rPr>
      </w:pPr>
      <w:r>
        <w:rPr>
          <w:rFonts w:hint="eastAsia" w:ascii="MiSans Light" w:hAnsi="MiSans Light" w:eastAsia="MiSans Light" w:cs="黑体"/>
          <w:b/>
          <w:bCs/>
          <w:sz w:val="32"/>
          <w:szCs w:val="32"/>
          <w:lang w:val="en-US" w:eastAsia="zh-CN"/>
        </w:rPr>
        <w:t>D</w:t>
      </w:r>
      <w:r>
        <w:rPr>
          <w:rFonts w:hint="eastAsia" w:ascii="MiSans Light" w:hAnsi="MiSans Light" w:eastAsia="MiSans Light" w:cs="黑体"/>
          <w:b/>
          <w:bCs/>
          <w:sz w:val="32"/>
          <w:szCs w:val="32"/>
        </w:rPr>
        <w:t>区烟气脱硫系统招标项目</w:t>
      </w:r>
    </w:p>
    <w:p w14:paraId="61A14546">
      <w:pPr>
        <w:pStyle w:val="7"/>
        <w:snapToGrid w:val="0"/>
        <w:ind w:right="-197" w:rightChars="-94"/>
        <w:jc w:val="center"/>
        <w:rPr>
          <w:rFonts w:hint="eastAsia" w:ascii="MiSans Light" w:hAnsi="MiSans Light" w:eastAsia="MiSans Light"/>
          <w:b/>
          <w:bCs/>
          <w:sz w:val="40"/>
          <w:szCs w:val="40"/>
        </w:rPr>
      </w:pPr>
    </w:p>
    <w:p w14:paraId="2B73734D">
      <w:pPr>
        <w:pStyle w:val="7"/>
        <w:snapToGrid w:val="0"/>
        <w:ind w:right="-197" w:rightChars="-94"/>
        <w:jc w:val="center"/>
        <w:rPr>
          <w:rFonts w:ascii="MiSans Light" w:hAnsi="MiSans Light" w:eastAsia="MiSans Light"/>
          <w:b/>
          <w:bCs/>
          <w:sz w:val="40"/>
          <w:szCs w:val="40"/>
        </w:rPr>
      </w:pPr>
    </w:p>
    <w:p w14:paraId="506C2C65">
      <w:pPr>
        <w:pStyle w:val="7"/>
        <w:snapToGrid w:val="0"/>
        <w:ind w:right="-197" w:rightChars="-94"/>
        <w:jc w:val="center"/>
        <w:rPr>
          <w:rFonts w:ascii="MiSans Light" w:hAnsi="MiSans Light" w:eastAsia="MiSans Light"/>
          <w:b/>
          <w:bCs/>
          <w:sz w:val="40"/>
          <w:szCs w:val="40"/>
        </w:rPr>
      </w:pPr>
    </w:p>
    <w:p w14:paraId="4C427A29">
      <w:pPr>
        <w:pStyle w:val="7"/>
        <w:snapToGrid w:val="0"/>
        <w:ind w:right="-197" w:rightChars="-94"/>
        <w:jc w:val="center"/>
        <w:rPr>
          <w:rFonts w:ascii="MiSans Light" w:hAnsi="MiSans Light" w:eastAsia="MiSans Light"/>
          <w:b/>
          <w:bCs/>
          <w:sz w:val="40"/>
          <w:szCs w:val="40"/>
        </w:rPr>
      </w:pPr>
    </w:p>
    <w:p w14:paraId="5D1D0C28">
      <w:pPr>
        <w:pStyle w:val="7"/>
        <w:snapToGrid w:val="0"/>
        <w:ind w:right="-197" w:rightChars="-94"/>
        <w:jc w:val="center"/>
        <w:rPr>
          <w:rFonts w:ascii="MiSans Light" w:hAnsi="MiSans Light" w:eastAsia="MiSans Light"/>
          <w:b/>
          <w:bCs/>
          <w:sz w:val="40"/>
          <w:szCs w:val="40"/>
        </w:rPr>
      </w:pPr>
    </w:p>
    <w:p w14:paraId="64940C4F">
      <w:pPr>
        <w:pStyle w:val="7"/>
        <w:snapToGrid w:val="0"/>
        <w:jc w:val="center"/>
        <w:rPr>
          <w:rFonts w:ascii="MiSans Light" w:hAnsi="MiSans Light" w:eastAsia="MiSans Light" w:cs="楷体"/>
          <w:b/>
          <w:bCs/>
          <w:sz w:val="84"/>
          <w:szCs w:val="84"/>
        </w:rPr>
      </w:pPr>
      <w:r>
        <w:rPr>
          <w:rFonts w:hint="eastAsia" w:ascii="MiSans Light" w:hAnsi="MiSans Light" w:eastAsia="MiSans Light" w:cs="楷体"/>
          <w:b/>
          <w:bCs/>
          <w:sz w:val="84"/>
          <w:szCs w:val="84"/>
        </w:rPr>
        <w:t>招 标 文 件</w:t>
      </w:r>
    </w:p>
    <w:p w14:paraId="45D58D24">
      <w:pPr>
        <w:pStyle w:val="7"/>
        <w:snapToGrid w:val="0"/>
        <w:jc w:val="center"/>
        <w:rPr>
          <w:rFonts w:ascii="MiSans Light" w:hAnsi="MiSans Light" w:eastAsia="MiSans Light" w:cs="楷体"/>
          <w:b/>
          <w:bCs/>
          <w:sz w:val="84"/>
          <w:szCs w:val="84"/>
        </w:rPr>
      </w:pPr>
    </w:p>
    <w:p w14:paraId="6B06F4F4">
      <w:pPr>
        <w:pStyle w:val="7"/>
        <w:snapToGrid w:val="0"/>
        <w:jc w:val="center"/>
        <w:rPr>
          <w:rFonts w:ascii="MiSans Light" w:hAnsi="MiSans Light" w:eastAsia="MiSans Light" w:cs="宋体"/>
          <w:b/>
          <w:bCs/>
          <w:sz w:val="28"/>
          <w:szCs w:val="28"/>
        </w:rPr>
      </w:pPr>
      <w:r>
        <w:rPr>
          <w:rFonts w:hint="eastAsia" w:ascii="MiSans Light" w:hAnsi="MiSans Light" w:eastAsia="MiSans Light" w:cs="宋体"/>
          <w:b/>
          <w:bCs/>
          <w:sz w:val="28"/>
          <w:szCs w:val="28"/>
        </w:rPr>
        <w:t>招标编号：FJKDC-2026061701</w:t>
      </w:r>
      <w:r>
        <w:rPr>
          <w:rFonts w:ascii="MiSans Light" w:hAnsi="MiSans Light" w:eastAsia="MiSans Light" w:cs="宋体"/>
          <w:b/>
          <w:bCs/>
          <w:sz w:val="24"/>
          <w:szCs w:val="24"/>
        </w:rPr>
        <w:t xml:space="preserve"> </w:t>
      </w:r>
    </w:p>
    <w:p w14:paraId="1C5D38F2">
      <w:pPr>
        <w:pStyle w:val="7"/>
        <w:snapToGrid w:val="0"/>
        <w:spacing w:before="62" w:after="62"/>
        <w:ind w:firstLine="707" w:firstLineChars="220"/>
        <w:rPr>
          <w:rFonts w:ascii="MiSans Light" w:hAnsi="MiSans Light" w:eastAsia="MiSans Light" w:cs="宋体"/>
          <w:b/>
          <w:bCs/>
          <w:sz w:val="32"/>
          <w:szCs w:val="32"/>
        </w:rPr>
      </w:pPr>
    </w:p>
    <w:p w14:paraId="1B57CCBB">
      <w:pPr>
        <w:pStyle w:val="7"/>
        <w:snapToGrid w:val="0"/>
        <w:spacing w:before="62" w:after="62"/>
        <w:ind w:firstLine="707" w:firstLineChars="220"/>
        <w:rPr>
          <w:rFonts w:ascii="MiSans Light" w:hAnsi="MiSans Light" w:eastAsia="MiSans Light" w:cs="宋体"/>
          <w:b/>
          <w:bCs/>
          <w:sz w:val="32"/>
          <w:szCs w:val="32"/>
        </w:rPr>
      </w:pPr>
    </w:p>
    <w:p w14:paraId="1E6277A3">
      <w:pPr>
        <w:pStyle w:val="7"/>
        <w:snapToGrid w:val="0"/>
        <w:spacing w:before="62" w:after="62"/>
        <w:ind w:firstLine="707" w:firstLineChars="220"/>
        <w:rPr>
          <w:rFonts w:ascii="MiSans Light" w:hAnsi="MiSans Light" w:eastAsia="MiSans Light" w:cs="宋体"/>
          <w:b/>
          <w:bCs/>
          <w:sz w:val="32"/>
          <w:szCs w:val="32"/>
        </w:rPr>
      </w:pPr>
    </w:p>
    <w:p w14:paraId="045B3B04">
      <w:pPr>
        <w:pStyle w:val="7"/>
        <w:snapToGrid w:val="0"/>
        <w:spacing w:before="62" w:after="62"/>
        <w:ind w:firstLine="707" w:firstLineChars="220"/>
        <w:rPr>
          <w:rFonts w:ascii="MiSans Light" w:hAnsi="MiSans Light" w:eastAsia="MiSans Light" w:cs="宋体"/>
          <w:b/>
          <w:bCs/>
          <w:sz w:val="32"/>
          <w:szCs w:val="32"/>
        </w:rPr>
      </w:pPr>
    </w:p>
    <w:p w14:paraId="5EE6A1CA">
      <w:pPr>
        <w:pStyle w:val="7"/>
        <w:snapToGrid w:val="0"/>
        <w:spacing w:before="62" w:after="62"/>
        <w:ind w:firstLine="707" w:firstLineChars="220"/>
        <w:rPr>
          <w:rFonts w:ascii="MiSans Light" w:hAnsi="MiSans Light" w:eastAsia="MiSans Light" w:cs="宋体"/>
          <w:b/>
          <w:bCs/>
          <w:sz w:val="32"/>
          <w:szCs w:val="32"/>
        </w:rPr>
      </w:pPr>
    </w:p>
    <w:p w14:paraId="0D4F8E7B">
      <w:pPr>
        <w:pStyle w:val="7"/>
        <w:snapToGrid w:val="0"/>
        <w:spacing w:before="62" w:after="62"/>
        <w:ind w:firstLine="707" w:firstLineChars="220"/>
        <w:rPr>
          <w:rFonts w:ascii="MiSans Light" w:hAnsi="MiSans Light" w:eastAsia="MiSans Light" w:cs="宋体"/>
          <w:b/>
          <w:bCs/>
          <w:sz w:val="32"/>
          <w:szCs w:val="32"/>
        </w:rPr>
      </w:pPr>
    </w:p>
    <w:p w14:paraId="6B285049">
      <w:pPr>
        <w:pStyle w:val="7"/>
        <w:snapToGrid w:val="0"/>
        <w:spacing w:before="62" w:after="62"/>
        <w:ind w:firstLine="707" w:firstLineChars="220"/>
        <w:rPr>
          <w:rFonts w:ascii="MiSans Light" w:hAnsi="MiSans Light" w:eastAsia="MiSans Light" w:cs="宋体"/>
          <w:b/>
          <w:bCs/>
          <w:sz w:val="32"/>
          <w:szCs w:val="32"/>
        </w:rPr>
      </w:pPr>
    </w:p>
    <w:p w14:paraId="05B119B4">
      <w:pPr>
        <w:pStyle w:val="7"/>
        <w:snapToGrid w:val="0"/>
        <w:spacing w:before="62" w:after="62"/>
        <w:ind w:firstLine="707" w:firstLineChars="220"/>
        <w:rPr>
          <w:rFonts w:ascii="MiSans Light" w:hAnsi="MiSans Light" w:eastAsia="MiSans Light" w:cs="宋体"/>
          <w:b/>
          <w:bCs/>
          <w:sz w:val="32"/>
          <w:szCs w:val="32"/>
        </w:rPr>
      </w:pPr>
    </w:p>
    <w:p w14:paraId="3568C8C3">
      <w:pPr>
        <w:pStyle w:val="7"/>
        <w:snapToGrid w:val="0"/>
        <w:spacing w:before="62" w:after="62"/>
        <w:ind w:firstLine="707" w:firstLineChars="220"/>
        <w:rPr>
          <w:rFonts w:ascii="MiSans Light" w:hAnsi="MiSans Light" w:eastAsia="MiSans Light" w:cs="宋体"/>
          <w:b/>
          <w:bCs/>
          <w:sz w:val="32"/>
          <w:szCs w:val="32"/>
        </w:rPr>
      </w:pPr>
    </w:p>
    <w:p w14:paraId="043E4D50">
      <w:pPr>
        <w:pStyle w:val="7"/>
        <w:snapToGrid w:val="0"/>
        <w:spacing w:before="62" w:after="62"/>
        <w:ind w:firstLine="707" w:firstLineChars="220"/>
        <w:rPr>
          <w:rFonts w:ascii="MiSans Light" w:hAnsi="MiSans Light" w:eastAsia="MiSans Light" w:cs="宋体"/>
          <w:b/>
          <w:bCs/>
          <w:sz w:val="32"/>
          <w:szCs w:val="32"/>
        </w:rPr>
      </w:pPr>
    </w:p>
    <w:p w14:paraId="02DC13A0">
      <w:pPr>
        <w:pStyle w:val="7"/>
        <w:snapToGrid w:val="0"/>
        <w:spacing w:before="62" w:after="62"/>
        <w:ind w:firstLine="707" w:firstLineChars="220"/>
        <w:rPr>
          <w:rFonts w:ascii="MiSans Light" w:hAnsi="MiSans Light" w:eastAsia="MiSans Light" w:cs="宋体"/>
          <w:b/>
          <w:bCs/>
          <w:sz w:val="32"/>
          <w:szCs w:val="32"/>
        </w:rPr>
      </w:pPr>
    </w:p>
    <w:p w14:paraId="5DB2BBC3">
      <w:pPr>
        <w:pStyle w:val="7"/>
        <w:snapToGrid w:val="0"/>
        <w:spacing w:before="62" w:after="62"/>
        <w:ind w:left="2773" w:leftChars="334" w:hanging="2072" w:hangingChars="645"/>
        <w:rPr>
          <w:rFonts w:ascii="MiSans Light" w:hAnsi="MiSans Light" w:eastAsia="MiSans Light" w:cs="宋体"/>
          <w:b/>
          <w:bCs/>
          <w:sz w:val="32"/>
          <w:szCs w:val="32"/>
        </w:rPr>
      </w:pPr>
    </w:p>
    <w:p w14:paraId="70F0C80A">
      <w:pPr>
        <w:pStyle w:val="7"/>
        <w:snapToGrid w:val="0"/>
        <w:spacing w:before="62" w:after="62"/>
        <w:ind w:hanging="6"/>
        <w:jc w:val="center"/>
        <w:rPr>
          <w:rFonts w:ascii="MiSans Light" w:hAnsi="MiSans Light" w:eastAsia="MiSans Light" w:cs="宋体"/>
          <w:b/>
          <w:bCs/>
          <w:sz w:val="28"/>
          <w:szCs w:val="28"/>
        </w:rPr>
      </w:pPr>
      <w:bookmarkStart w:id="0" w:name="_Toc683"/>
      <w:bookmarkStart w:id="1" w:name="_Toc15986"/>
      <w:r>
        <w:rPr>
          <w:rFonts w:hint="eastAsia" w:ascii="MiSans Light" w:hAnsi="MiSans Light" w:eastAsia="MiSans Light" w:cs="宋体"/>
          <w:b/>
          <w:bCs/>
          <w:sz w:val="28"/>
          <w:szCs w:val="28"/>
        </w:rPr>
        <w:t>招标人：福建科达新能源科技有限公司</w:t>
      </w:r>
      <w:bookmarkEnd w:id="0"/>
      <w:bookmarkEnd w:id="1"/>
      <w:r>
        <w:rPr>
          <w:rFonts w:hint="eastAsia" w:ascii="MiSans Light" w:hAnsi="MiSans Light" w:eastAsia="MiSans Light" w:cs="宋体"/>
          <w:b/>
          <w:bCs/>
          <w:sz w:val="28"/>
          <w:szCs w:val="28"/>
        </w:rPr>
        <w:t xml:space="preserve"> </w:t>
      </w:r>
      <w:r>
        <w:rPr>
          <w:rStyle w:val="8"/>
          <w:rFonts w:hint="eastAsia" w:ascii="宋体" w:hAnsi="宋体"/>
          <w:sz w:val="28"/>
          <w:szCs w:val="28"/>
        </w:rPr>
        <w:t xml:space="preserve"> </w:t>
      </w:r>
    </w:p>
    <w:p w14:paraId="4F2D448A">
      <w:pPr>
        <w:snapToGrid w:val="0"/>
        <w:ind w:hanging="6"/>
        <w:jc w:val="center"/>
        <w:rPr>
          <w:rFonts w:ascii="MiSans Light" w:hAnsi="MiSans Light" w:eastAsia="MiSans Light" w:cs="宋体"/>
          <w:b/>
          <w:bCs/>
          <w:sz w:val="28"/>
          <w:szCs w:val="28"/>
        </w:rPr>
        <w:sectPr>
          <w:footerReference r:id="rId4" w:type="first"/>
          <w:footerReference r:id="rId3" w:type="default"/>
          <w:pgSz w:w="11906" w:h="16838"/>
          <w:pgMar w:top="1440" w:right="1080" w:bottom="1440" w:left="1080" w:header="851" w:footer="992" w:gutter="0"/>
          <w:cols w:space="720" w:num="1"/>
          <w:docGrid w:type="lines" w:linePitch="312" w:charSpace="0"/>
        </w:sectPr>
      </w:pPr>
      <w:r>
        <w:rPr>
          <w:rFonts w:hint="eastAsia" w:ascii="MiSans Light" w:hAnsi="MiSans Light" w:eastAsia="MiSans Light" w:cs="宋体"/>
          <w:b/>
          <w:bCs/>
          <w:sz w:val="28"/>
          <w:szCs w:val="28"/>
        </w:rPr>
        <w:t xml:space="preserve">  </w:t>
      </w:r>
      <w:bookmarkStart w:id="2" w:name="_Toc13490"/>
      <w:bookmarkStart w:id="3" w:name="_Toc12445"/>
      <w:r>
        <w:rPr>
          <w:rFonts w:hint="eastAsia" w:ascii="MiSans Light" w:hAnsi="MiSans Light" w:eastAsia="MiSans Light" w:cs="宋体"/>
          <w:b/>
          <w:bCs/>
          <w:sz w:val="28"/>
          <w:szCs w:val="28"/>
        </w:rPr>
        <w:t>202</w:t>
      </w:r>
      <w:r>
        <w:rPr>
          <w:rFonts w:hint="eastAsia" w:ascii="MiSans Light" w:hAnsi="MiSans Light" w:eastAsia="MiSans Light" w:cs="宋体"/>
          <w:b/>
          <w:bCs/>
          <w:sz w:val="28"/>
          <w:szCs w:val="28"/>
          <w:lang w:val="en-US" w:eastAsia="zh-CN"/>
        </w:rPr>
        <w:t>6</w:t>
      </w:r>
      <w:r>
        <w:rPr>
          <w:rFonts w:hint="eastAsia" w:ascii="MiSans Light" w:hAnsi="MiSans Light" w:eastAsia="MiSans Light" w:cs="宋体"/>
          <w:b/>
          <w:bCs/>
          <w:sz w:val="28"/>
          <w:szCs w:val="28"/>
        </w:rPr>
        <w:t>年</w:t>
      </w:r>
      <w:bookmarkEnd w:id="2"/>
      <w:bookmarkEnd w:id="3"/>
      <w:r>
        <w:rPr>
          <w:rFonts w:ascii="MiSans Light" w:hAnsi="MiSans Light" w:eastAsia="MiSans Light" w:cs="宋体"/>
          <w:b/>
          <w:bCs/>
          <w:sz w:val="28"/>
          <w:szCs w:val="28"/>
        </w:rPr>
        <w:t>0</w:t>
      </w:r>
      <w:r>
        <w:rPr>
          <w:rFonts w:hint="eastAsia" w:ascii="MiSans Light" w:hAnsi="MiSans Light" w:eastAsia="MiSans Light" w:cs="宋体"/>
          <w:b/>
          <w:bCs/>
          <w:sz w:val="28"/>
          <w:szCs w:val="28"/>
          <w:lang w:val="en-US" w:eastAsia="zh-CN"/>
        </w:rPr>
        <w:t>6</w:t>
      </w:r>
      <w:r>
        <w:rPr>
          <w:rFonts w:hint="eastAsia" w:ascii="MiSans Light" w:hAnsi="MiSans Light" w:eastAsia="MiSans Light" w:cs="宋体"/>
          <w:b/>
          <w:bCs/>
          <w:sz w:val="28"/>
          <w:szCs w:val="28"/>
        </w:rPr>
        <w:t>月</w:t>
      </w:r>
    </w:p>
    <w:p w14:paraId="50BBA698">
      <w:pPr>
        <w:pStyle w:val="3"/>
        <w:spacing w:line="360" w:lineRule="auto"/>
        <w:rPr>
          <w:rFonts w:hint="eastAsia" w:ascii="宋体" w:hAnsi="宋体" w:cs="宋体"/>
          <w:sz w:val="28"/>
          <w:szCs w:val="28"/>
        </w:rPr>
      </w:pPr>
      <w:r>
        <w:rPr>
          <w:rFonts w:hint="eastAsia" w:ascii="宋体" w:hAnsi="宋体" w:cs="宋体"/>
          <w:sz w:val="28"/>
          <w:szCs w:val="28"/>
        </w:rPr>
        <w:t>1.</w:t>
      </w:r>
      <w:r>
        <w:rPr>
          <w:rFonts w:hint="eastAsia" w:ascii="宋体" w:hAnsi="宋体" w:cs="宋体"/>
          <w:b/>
          <w:sz w:val="28"/>
          <w:szCs w:val="28"/>
        </w:rPr>
        <w:t>招标项目名称</w:t>
      </w:r>
      <w:r>
        <w:rPr>
          <w:rFonts w:hint="eastAsia" w:ascii="宋体" w:hAnsi="宋体" w:cs="宋体"/>
          <w:sz w:val="28"/>
          <w:szCs w:val="28"/>
        </w:rPr>
        <w:t>：</w:t>
      </w:r>
    </w:p>
    <w:p w14:paraId="6B2178AB">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r>
        <w:rPr>
          <w:rFonts w:hint="eastAsia" w:ascii="宋体" w:hAnsi="宋体" w:cs="宋体"/>
          <w:sz w:val="28"/>
          <w:szCs w:val="28"/>
          <w:lang w:val="en-US" w:eastAsia="zh-CN"/>
        </w:rPr>
        <w:t>D</w:t>
      </w:r>
      <w:r>
        <w:rPr>
          <w:rFonts w:hint="eastAsia" w:ascii="宋体" w:hAnsi="宋体" w:eastAsia="宋体" w:cs="宋体"/>
          <w:sz w:val="28"/>
          <w:szCs w:val="28"/>
        </w:rPr>
        <w:t>区烟气脱硫系统</w:t>
      </w:r>
      <w:r>
        <w:rPr>
          <w:rFonts w:hint="eastAsia" w:ascii="宋体" w:hAnsi="宋体" w:cs="宋体"/>
          <w:sz w:val="28"/>
          <w:szCs w:val="28"/>
        </w:rPr>
        <w:t>项目。</w:t>
      </w:r>
    </w:p>
    <w:p w14:paraId="10E01D83">
      <w:pPr>
        <w:pStyle w:val="3"/>
        <w:spacing w:line="360" w:lineRule="auto"/>
        <w:rPr>
          <w:rFonts w:hint="eastAsia" w:ascii="宋体" w:hAnsi="宋体" w:cs="宋体"/>
          <w:sz w:val="28"/>
          <w:szCs w:val="28"/>
        </w:rPr>
      </w:pPr>
      <w:r>
        <w:rPr>
          <w:rFonts w:hint="eastAsia" w:ascii="宋体" w:hAnsi="宋体" w:cs="宋体"/>
          <w:sz w:val="28"/>
          <w:szCs w:val="28"/>
        </w:rPr>
        <w:t>2.</w:t>
      </w:r>
      <w:r>
        <w:rPr>
          <w:rFonts w:hint="eastAsia" w:ascii="宋体" w:hAnsi="宋体" w:cs="宋体"/>
          <w:b/>
          <w:sz w:val="28"/>
          <w:szCs w:val="28"/>
        </w:rPr>
        <w:t>招标人</w:t>
      </w:r>
      <w:r>
        <w:rPr>
          <w:rFonts w:hint="eastAsia" w:ascii="宋体" w:hAnsi="宋体" w:cs="宋体"/>
          <w:sz w:val="28"/>
          <w:szCs w:val="28"/>
        </w:rPr>
        <w:t>：</w:t>
      </w:r>
    </w:p>
    <w:p w14:paraId="3F6C4738">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p>
    <w:p w14:paraId="4B1A6EDC">
      <w:pPr>
        <w:pStyle w:val="3"/>
        <w:spacing w:line="360" w:lineRule="auto"/>
        <w:rPr>
          <w:rFonts w:hint="eastAsia" w:ascii="宋体" w:hAnsi="宋体" w:cs="宋体"/>
          <w:sz w:val="28"/>
          <w:szCs w:val="28"/>
        </w:rPr>
      </w:pPr>
      <w:r>
        <w:rPr>
          <w:rFonts w:hint="eastAsia" w:ascii="宋体" w:hAnsi="宋体" w:cs="宋体"/>
          <w:sz w:val="28"/>
          <w:szCs w:val="28"/>
        </w:rPr>
        <w:t>3.</w:t>
      </w:r>
      <w:r>
        <w:rPr>
          <w:rFonts w:hint="eastAsia" w:ascii="宋体" w:hAnsi="宋体" w:cs="宋体"/>
          <w:b/>
          <w:sz w:val="28"/>
          <w:szCs w:val="28"/>
        </w:rPr>
        <w:t>标的物</w:t>
      </w:r>
      <w:r>
        <w:rPr>
          <w:rFonts w:hint="eastAsia" w:ascii="宋体" w:hAnsi="宋体" w:cs="宋体"/>
          <w:sz w:val="28"/>
          <w:szCs w:val="28"/>
        </w:rPr>
        <w:t>：</w:t>
      </w:r>
    </w:p>
    <w:p w14:paraId="7441C457">
      <w:pPr>
        <w:pStyle w:val="3"/>
        <w:spacing w:line="360" w:lineRule="auto"/>
        <w:ind w:firstLine="280" w:firstLineChars="100"/>
        <w:rPr>
          <w:rFonts w:hint="eastAsia" w:ascii="宋体" w:hAnsi="宋体" w:cs="宋体"/>
          <w:sz w:val="28"/>
          <w:szCs w:val="28"/>
        </w:rPr>
      </w:pPr>
      <w:r>
        <w:rPr>
          <w:rFonts w:hint="eastAsia" w:ascii="宋体" w:hAnsi="宋体" w:cs="宋体"/>
          <w:sz w:val="28"/>
          <w:szCs w:val="28"/>
          <w:lang w:val="en-US" w:eastAsia="zh-CN"/>
        </w:rPr>
        <w:t>D</w:t>
      </w:r>
      <w:r>
        <w:rPr>
          <w:rFonts w:hint="eastAsia" w:ascii="宋体" w:hAnsi="宋体" w:eastAsia="宋体" w:cs="宋体"/>
          <w:sz w:val="28"/>
          <w:szCs w:val="28"/>
        </w:rPr>
        <w:t>区烟气脱硫系统</w:t>
      </w:r>
      <w:r>
        <w:rPr>
          <w:rFonts w:hint="eastAsia" w:ascii="宋体" w:hAnsi="宋体" w:cs="宋体"/>
          <w:sz w:val="28"/>
          <w:szCs w:val="28"/>
        </w:rPr>
        <w:t>项目。</w:t>
      </w:r>
    </w:p>
    <w:p w14:paraId="7BA248E4">
      <w:pPr>
        <w:pStyle w:val="3"/>
        <w:spacing w:line="360" w:lineRule="auto"/>
        <w:rPr>
          <w:rFonts w:hint="eastAsia" w:ascii="宋体" w:hAnsi="宋体" w:cs="宋体"/>
          <w:sz w:val="28"/>
          <w:szCs w:val="28"/>
        </w:rPr>
      </w:pPr>
      <w:r>
        <w:rPr>
          <w:rFonts w:hint="eastAsia" w:ascii="宋体" w:hAnsi="宋体" w:cs="宋体"/>
          <w:sz w:val="28"/>
          <w:szCs w:val="28"/>
        </w:rPr>
        <w:t>4.</w:t>
      </w:r>
      <w:r>
        <w:rPr>
          <w:rFonts w:hint="eastAsia" w:ascii="宋体" w:hAnsi="宋体" w:cs="宋体"/>
          <w:b/>
          <w:sz w:val="28"/>
          <w:szCs w:val="28"/>
        </w:rPr>
        <w:t>标的物的要求</w:t>
      </w:r>
      <w:r>
        <w:rPr>
          <w:rFonts w:hint="eastAsia" w:ascii="宋体" w:hAnsi="宋体" w:cs="宋体"/>
          <w:sz w:val="28"/>
          <w:szCs w:val="28"/>
        </w:rPr>
        <w:t>：</w:t>
      </w:r>
    </w:p>
    <w:p w14:paraId="5E213344">
      <w:pPr>
        <w:pStyle w:val="3"/>
        <w:spacing w:line="360" w:lineRule="auto"/>
        <w:ind w:firstLine="280" w:firstLineChars="100"/>
        <w:rPr>
          <w:rFonts w:ascii="宋体" w:hAnsi="宋体" w:cs="宋体"/>
          <w:sz w:val="28"/>
          <w:szCs w:val="28"/>
        </w:rPr>
      </w:pPr>
      <w:r>
        <w:rPr>
          <w:rFonts w:hint="eastAsia" w:ascii="宋体" w:hAnsi="宋体" w:cs="宋体"/>
          <w:sz w:val="28"/>
          <w:szCs w:val="28"/>
        </w:rPr>
        <w:t>需</w:t>
      </w:r>
      <w:r>
        <w:rPr>
          <w:rFonts w:ascii="宋体" w:hAnsi="宋体" w:cs="宋体"/>
          <w:sz w:val="28"/>
          <w:szCs w:val="28"/>
        </w:rPr>
        <w:t>满足</w:t>
      </w:r>
      <w:r>
        <w:rPr>
          <w:rFonts w:hint="eastAsia" w:ascii="宋体" w:hAnsi="宋体" w:cs="宋体"/>
          <w:sz w:val="28"/>
          <w:szCs w:val="28"/>
        </w:rPr>
        <w:t>福建科达新能源科技有限公司</w:t>
      </w:r>
      <w:r>
        <w:rPr>
          <w:rFonts w:hint="eastAsia" w:ascii="宋体" w:hAnsi="宋体" w:cs="宋体"/>
          <w:sz w:val="28"/>
          <w:szCs w:val="28"/>
          <w:lang w:val="en-US" w:eastAsia="zh-CN"/>
        </w:rPr>
        <w:t>D</w:t>
      </w:r>
      <w:r>
        <w:rPr>
          <w:rFonts w:hint="eastAsia" w:ascii="宋体" w:hAnsi="宋体" w:eastAsia="宋体" w:cs="宋体"/>
          <w:sz w:val="28"/>
          <w:szCs w:val="28"/>
        </w:rPr>
        <w:t>区烟气脱硫系统</w:t>
      </w:r>
      <w:r>
        <w:rPr>
          <w:rFonts w:hint="eastAsia" w:ascii="宋体" w:hAnsi="宋体" w:cs="宋体"/>
          <w:sz w:val="28"/>
          <w:szCs w:val="28"/>
        </w:rPr>
        <w:t>项目</w:t>
      </w:r>
      <w:r>
        <w:rPr>
          <w:rFonts w:hint="eastAsia" w:ascii="宋体" w:hAnsi="宋体" w:eastAsia="宋体" w:cs="宋体"/>
          <w:sz w:val="28"/>
          <w:szCs w:val="28"/>
          <w:lang w:val="en-US" w:eastAsia="zh-CN"/>
        </w:rPr>
        <w:t>技术</w:t>
      </w:r>
      <w:r>
        <w:rPr>
          <w:rFonts w:hint="eastAsia" w:ascii="宋体" w:hAnsi="宋体" w:cs="宋体"/>
          <w:sz w:val="28"/>
          <w:szCs w:val="28"/>
        </w:rPr>
        <w:t>要求，现场施工</w:t>
      </w:r>
      <w:r>
        <w:rPr>
          <w:rFonts w:ascii="宋体" w:hAnsi="宋体" w:cs="宋体"/>
          <w:sz w:val="28"/>
          <w:szCs w:val="28"/>
        </w:rPr>
        <w:t>人员食宿</w:t>
      </w:r>
      <w:r>
        <w:rPr>
          <w:rFonts w:hint="eastAsia" w:ascii="宋体" w:hAnsi="宋体" w:cs="宋体"/>
          <w:sz w:val="28"/>
          <w:szCs w:val="28"/>
        </w:rPr>
        <w:t>、</w:t>
      </w:r>
      <w:r>
        <w:rPr>
          <w:rFonts w:ascii="宋体" w:hAnsi="宋体" w:cs="宋体"/>
          <w:sz w:val="28"/>
          <w:szCs w:val="28"/>
        </w:rPr>
        <w:t>交通工具</w:t>
      </w:r>
      <w:r>
        <w:rPr>
          <w:rFonts w:hint="eastAsia" w:ascii="宋体" w:hAnsi="宋体" w:cs="宋体"/>
          <w:sz w:val="28"/>
          <w:szCs w:val="28"/>
        </w:rPr>
        <w:t>、</w:t>
      </w:r>
      <w:r>
        <w:rPr>
          <w:rFonts w:ascii="宋体" w:hAnsi="宋体" w:cs="宋体"/>
          <w:sz w:val="28"/>
          <w:szCs w:val="28"/>
        </w:rPr>
        <w:t>维护工具等</w:t>
      </w:r>
      <w:r>
        <w:rPr>
          <w:rFonts w:hint="eastAsia" w:ascii="宋体" w:hAnsi="宋体" w:cs="宋体"/>
          <w:sz w:val="28"/>
          <w:szCs w:val="28"/>
        </w:rPr>
        <w:t>费用</w:t>
      </w:r>
      <w:r>
        <w:rPr>
          <w:rFonts w:ascii="宋体" w:hAnsi="宋体" w:cs="宋体"/>
          <w:sz w:val="28"/>
          <w:szCs w:val="28"/>
        </w:rPr>
        <w:t>均自理</w:t>
      </w:r>
      <w:r>
        <w:rPr>
          <w:rFonts w:hint="eastAsia" w:ascii="宋体" w:hAnsi="宋体" w:cs="宋体"/>
          <w:sz w:val="28"/>
          <w:szCs w:val="28"/>
        </w:rPr>
        <w:t>。</w:t>
      </w:r>
    </w:p>
    <w:p w14:paraId="709C7DC0">
      <w:pPr>
        <w:pStyle w:val="3"/>
        <w:spacing w:line="360" w:lineRule="auto"/>
        <w:rPr>
          <w:rFonts w:hint="eastAsia"/>
        </w:rPr>
      </w:pPr>
      <w:r>
        <w:rPr>
          <w:rFonts w:hint="eastAsia" w:ascii="宋体" w:hAnsi="宋体" w:cs="宋体"/>
          <w:sz w:val="28"/>
          <w:szCs w:val="28"/>
        </w:rPr>
        <w:t>5.</w:t>
      </w:r>
      <w:r>
        <w:rPr>
          <w:rFonts w:hint="eastAsia" w:ascii="宋体" w:hAnsi="宋体" w:cs="宋体"/>
          <w:b/>
          <w:sz w:val="28"/>
          <w:szCs w:val="28"/>
        </w:rPr>
        <w:t>投标文件内容及格式要求</w:t>
      </w:r>
      <w:r>
        <w:rPr>
          <w:rFonts w:hint="eastAsia" w:ascii="宋体" w:hAnsi="宋体" w:cs="宋体"/>
          <w:sz w:val="28"/>
          <w:szCs w:val="28"/>
        </w:rPr>
        <w:t>：</w:t>
      </w:r>
    </w:p>
    <w:p w14:paraId="238ACCD2">
      <w:pPr>
        <w:pStyle w:val="3"/>
        <w:spacing w:line="360" w:lineRule="auto"/>
        <w:rPr>
          <w:rFonts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正式</w:t>
      </w:r>
      <w:r>
        <w:rPr>
          <w:rFonts w:ascii="宋体" w:hAnsi="宋体" w:cs="宋体"/>
          <w:sz w:val="28"/>
          <w:szCs w:val="28"/>
        </w:rPr>
        <w:t>投标前需进行资格</w:t>
      </w:r>
      <w:r>
        <w:rPr>
          <w:rFonts w:hint="eastAsia" w:ascii="宋体" w:hAnsi="宋体" w:cs="宋体"/>
          <w:sz w:val="28"/>
          <w:szCs w:val="28"/>
        </w:rPr>
        <w:t>预审</w:t>
      </w:r>
      <w:r>
        <w:rPr>
          <w:rFonts w:ascii="宋体" w:hAnsi="宋体" w:cs="宋体"/>
          <w:sz w:val="28"/>
          <w:szCs w:val="28"/>
        </w:rPr>
        <w:t>，通过资格预审的供应商方可进行正式投标</w:t>
      </w:r>
      <w:r>
        <w:rPr>
          <w:rFonts w:hint="eastAsia" w:ascii="宋体" w:hAnsi="宋体" w:cs="宋体"/>
          <w:sz w:val="28"/>
          <w:szCs w:val="28"/>
        </w:rPr>
        <w:t>。</w:t>
      </w:r>
      <w:r>
        <w:rPr>
          <w:rFonts w:ascii="宋体" w:hAnsi="宋体" w:cs="宋体"/>
          <w:sz w:val="28"/>
          <w:szCs w:val="28"/>
        </w:rPr>
        <w:tab/>
      </w:r>
      <w:r>
        <w:rPr>
          <w:rFonts w:ascii="宋体" w:hAnsi="宋体" w:cs="宋体"/>
          <w:sz w:val="28"/>
          <w:szCs w:val="28"/>
        </w:rPr>
        <w:t xml:space="preserve">  </w:t>
      </w:r>
    </w:p>
    <w:p w14:paraId="6C2B8ABE">
      <w:pPr>
        <w:pStyle w:val="3"/>
        <w:spacing w:line="360" w:lineRule="auto"/>
        <w:ind w:firstLine="280" w:firstLineChars="100"/>
        <w:rPr>
          <w:rFonts w:ascii="宋体" w:hAnsi="宋体" w:cs="宋体"/>
          <w:sz w:val="28"/>
          <w:szCs w:val="28"/>
        </w:rPr>
      </w:pPr>
      <w:r>
        <w:rPr>
          <w:rFonts w:hint="eastAsia" w:ascii="宋体" w:hAnsi="宋体" w:cs="宋体"/>
          <w:sz w:val="28"/>
          <w:szCs w:val="28"/>
        </w:rPr>
        <w:t>正式</w:t>
      </w:r>
      <w:r>
        <w:rPr>
          <w:rFonts w:ascii="宋体" w:hAnsi="宋体" w:cs="宋体"/>
          <w:sz w:val="28"/>
          <w:szCs w:val="28"/>
        </w:rPr>
        <w:t>标书</w:t>
      </w:r>
      <w:r>
        <w:rPr>
          <w:rFonts w:hint="eastAsia" w:ascii="宋体" w:hAnsi="宋体" w:cs="宋体"/>
          <w:sz w:val="28"/>
          <w:szCs w:val="28"/>
        </w:rPr>
        <w:t>技术标及</w:t>
      </w:r>
      <w:r>
        <w:rPr>
          <w:rFonts w:ascii="宋体" w:hAnsi="宋体" w:cs="宋体"/>
          <w:sz w:val="28"/>
          <w:szCs w:val="28"/>
        </w:rPr>
        <w:t>价格标</w:t>
      </w:r>
      <w:r>
        <w:rPr>
          <w:rFonts w:hint="eastAsia" w:ascii="宋体" w:hAnsi="宋体" w:cs="宋体"/>
          <w:sz w:val="28"/>
          <w:szCs w:val="28"/>
        </w:rPr>
        <w:t>分开</w:t>
      </w:r>
      <w:r>
        <w:rPr>
          <w:rFonts w:hint="eastAsia" w:ascii="宋体" w:hAnsi="宋体" w:cs="宋体"/>
          <w:sz w:val="28"/>
          <w:szCs w:val="28"/>
          <w:lang w:eastAsia="zh-CN"/>
        </w:rPr>
        <w:t>（</w:t>
      </w:r>
      <w:r>
        <w:rPr>
          <w:rFonts w:hint="eastAsia" w:ascii="宋体" w:hAnsi="宋体" w:cs="宋体"/>
          <w:sz w:val="28"/>
          <w:szCs w:val="28"/>
          <w:lang w:val="en-US" w:eastAsia="zh-CN"/>
        </w:rPr>
        <w:t>其中技术标2份一正本一副本，价格标2份一正本一副本，</w:t>
      </w:r>
      <w:r>
        <w:rPr>
          <w:rFonts w:hint="eastAsia" w:ascii="宋体" w:hAnsi="宋体" w:cs="宋体"/>
          <w:sz w:val="28"/>
          <w:szCs w:val="28"/>
          <w:lang w:eastAsia="zh-CN"/>
        </w:rPr>
        <w:t>）</w:t>
      </w:r>
      <w:r>
        <w:rPr>
          <w:rFonts w:hint="eastAsia" w:ascii="宋体" w:hAnsi="宋体" w:cs="宋体"/>
          <w:sz w:val="28"/>
          <w:szCs w:val="28"/>
        </w:rPr>
        <w:t>，要求</w:t>
      </w:r>
      <w:r>
        <w:rPr>
          <w:rFonts w:hint="eastAsia" w:ascii="宋体" w:hAnsi="宋体" w:cs="宋体"/>
          <w:sz w:val="28"/>
          <w:szCs w:val="28"/>
          <w:highlight w:val="none"/>
        </w:rPr>
        <w:t>技术标和</w:t>
      </w:r>
      <w:r>
        <w:rPr>
          <w:rFonts w:ascii="宋体" w:hAnsi="宋体" w:cs="宋体"/>
          <w:sz w:val="28"/>
          <w:szCs w:val="28"/>
          <w:highlight w:val="none"/>
        </w:rPr>
        <w:t>价格标</w:t>
      </w:r>
      <w:r>
        <w:rPr>
          <w:rFonts w:hint="eastAsia" w:ascii="宋体" w:hAnsi="宋体" w:cs="宋体"/>
          <w:sz w:val="28"/>
          <w:szCs w:val="28"/>
          <w:highlight w:val="none"/>
        </w:rPr>
        <w:t>单独密封，投标保证金付款凭证另外单独密封，以方</w:t>
      </w:r>
      <w:r>
        <w:rPr>
          <w:rFonts w:hint="eastAsia" w:ascii="宋体" w:hAnsi="宋体" w:cs="宋体"/>
          <w:sz w:val="28"/>
          <w:szCs w:val="28"/>
        </w:rPr>
        <w:t>便评标。</w:t>
      </w:r>
    </w:p>
    <w:p w14:paraId="012A79DB">
      <w:pPr>
        <w:pStyle w:val="3"/>
        <w:spacing w:line="360" w:lineRule="auto"/>
        <w:ind w:firstLine="280" w:firstLineChars="100"/>
        <w:rPr>
          <w:rFonts w:ascii="宋体" w:hAnsi="宋体" w:cs="宋体"/>
          <w:sz w:val="28"/>
          <w:szCs w:val="28"/>
        </w:rPr>
      </w:pPr>
      <w:r>
        <w:rPr>
          <w:rFonts w:hint="eastAsia" w:ascii="宋体" w:hAnsi="宋体" w:cs="宋体"/>
          <w:sz w:val="28"/>
          <w:szCs w:val="28"/>
        </w:rPr>
        <w:t>1）资格</w:t>
      </w:r>
      <w:r>
        <w:rPr>
          <w:rFonts w:ascii="宋体" w:hAnsi="宋体" w:cs="宋体"/>
          <w:sz w:val="28"/>
          <w:szCs w:val="28"/>
        </w:rPr>
        <w:t>预审标</w:t>
      </w:r>
    </w:p>
    <w:p w14:paraId="78C16186">
      <w:pPr>
        <w:pStyle w:val="3"/>
        <w:spacing w:line="360" w:lineRule="auto"/>
        <w:ind w:firstLine="570"/>
        <w:rPr>
          <w:rFonts w:ascii="宋体" w:hAnsi="宋体" w:cs="宋体"/>
          <w:sz w:val="28"/>
          <w:szCs w:val="28"/>
        </w:rPr>
      </w:pPr>
      <w:r>
        <w:rPr>
          <w:rFonts w:hint="eastAsia" w:ascii="宋体" w:hAnsi="宋体" w:cs="宋体"/>
          <w:sz w:val="28"/>
          <w:szCs w:val="28"/>
        </w:rPr>
        <w:t>资格预审标书需根据资格预审要求编制，并在资格预审标书首页根据资格预审评分一览表上注明评分内容对应的资料页码，投标人要提供相应的资信材料、投标人的法人授权证明。资格预审书分别为一正本一副本，密封后在规定时间内寄到招标方指定地点。资格</w:t>
      </w:r>
      <w:r>
        <w:rPr>
          <w:rFonts w:ascii="宋体" w:hAnsi="宋体" w:cs="宋体"/>
          <w:sz w:val="28"/>
          <w:szCs w:val="28"/>
        </w:rPr>
        <w:t>预审得分超过</w:t>
      </w:r>
      <w:r>
        <w:rPr>
          <w:rFonts w:hint="eastAsia" w:ascii="宋体" w:hAnsi="宋体" w:cs="宋体"/>
          <w:sz w:val="28"/>
          <w:szCs w:val="28"/>
          <w:lang w:val="en-US" w:eastAsia="zh-CN"/>
        </w:rPr>
        <w:t>6</w:t>
      </w:r>
      <w:r>
        <w:rPr>
          <w:rFonts w:hint="eastAsia" w:ascii="宋体" w:hAnsi="宋体" w:cs="宋体"/>
          <w:sz w:val="28"/>
          <w:szCs w:val="28"/>
        </w:rPr>
        <w:t>0分</w:t>
      </w:r>
      <w:r>
        <w:rPr>
          <w:rFonts w:ascii="宋体" w:hAnsi="宋体" w:cs="宋体"/>
          <w:sz w:val="28"/>
          <w:szCs w:val="28"/>
        </w:rPr>
        <w:t>方可进</w:t>
      </w:r>
      <w:r>
        <w:rPr>
          <w:rFonts w:hint="eastAsia" w:ascii="宋体" w:hAnsi="宋体" w:cs="宋体"/>
          <w:sz w:val="28"/>
          <w:szCs w:val="28"/>
        </w:rPr>
        <w:t>入</w:t>
      </w:r>
      <w:r>
        <w:rPr>
          <w:rFonts w:ascii="宋体" w:hAnsi="宋体" w:cs="宋体"/>
          <w:sz w:val="28"/>
          <w:szCs w:val="28"/>
        </w:rPr>
        <w:t>正式投标。</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30"/>
        <w:gridCol w:w="698"/>
        <w:gridCol w:w="5600"/>
      </w:tblGrid>
      <w:tr w14:paraId="6D25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5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福建科达新能源科技有限公司</w:t>
            </w:r>
            <w:r>
              <w:rPr>
                <w:rFonts w:hint="eastAsia" w:ascii="宋体" w:hAnsi="宋体" w:cs="宋体"/>
                <w:b/>
                <w:bCs/>
                <w:i w:val="0"/>
                <w:iCs w:val="0"/>
                <w:color w:val="000000"/>
                <w:kern w:val="0"/>
                <w:sz w:val="24"/>
                <w:szCs w:val="24"/>
                <w:u w:val="none"/>
                <w:lang w:val="en-US" w:eastAsia="zh-CN" w:bidi="ar"/>
              </w:rPr>
              <w:t>D</w:t>
            </w:r>
            <w:r>
              <w:rPr>
                <w:rFonts w:hint="eastAsia" w:ascii="宋体" w:hAnsi="宋体" w:eastAsia="宋体" w:cs="宋体"/>
                <w:b/>
                <w:bCs/>
                <w:i w:val="0"/>
                <w:iCs w:val="0"/>
                <w:color w:val="000000"/>
                <w:kern w:val="0"/>
                <w:sz w:val="24"/>
                <w:szCs w:val="24"/>
                <w:u w:val="none"/>
                <w:lang w:val="en-US" w:eastAsia="zh-CN" w:bidi="ar"/>
              </w:rPr>
              <w:t>区烟气脱硫系统招标项目资格预审评分表</w:t>
            </w:r>
          </w:p>
        </w:tc>
      </w:tr>
      <w:tr w14:paraId="2C43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35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D7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2B6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2D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评分标准                 </w:t>
            </w:r>
          </w:p>
        </w:tc>
      </w:tr>
      <w:tr w14:paraId="0B15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10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企业资质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2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B1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投标人具有营业执照、税务登记证、组织机构代码证，或按照“三证合一”登记制度登记，执照有效。并取得相关许可证，得35分；不符合以上资质，为否决项。</w:t>
            </w:r>
          </w:p>
        </w:tc>
      </w:tr>
      <w:tr w14:paraId="4760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A1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0EEE">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91D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912E">
            <w:pPr>
              <w:jc w:val="left"/>
              <w:rPr>
                <w:rFonts w:hint="eastAsia" w:ascii="宋体" w:hAnsi="宋体" w:eastAsia="宋体" w:cs="宋体"/>
                <w:i w:val="0"/>
                <w:iCs w:val="0"/>
                <w:color w:val="000000"/>
                <w:sz w:val="20"/>
                <w:szCs w:val="20"/>
                <w:u w:val="none"/>
              </w:rPr>
            </w:pPr>
          </w:p>
        </w:tc>
      </w:tr>
      <w:tr w14:paraId="64AC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C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注册资金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9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1、注册资金≥1亿，得10分；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2、0.5亿元≤注册资金&lt;1.0亿元，得7分；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3、0.2亿元≤注册资金&lt;0.5亿元，得5分；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4、注册资金＜0.2亿，不得分。</w:t>
            </w:r>
          </w:p>
        </w:tc>
      </w:tr>
      <w:tr w14:paraId="6EE9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B77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A3A">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AEC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0F5A">
            <w:pPr>
              <w:jc w:val="left"/>
              <w:rPr>
                <w:rFonts w:hint="eastAsia" w:ascii="宋体" w:hAnsi="宋体" w:eastAsia="宋体" w:cs="宋体"/>
                <w:i w:val="0"/>
                <w:iCs w:val="0"/>
                <w:color w:val="000000"/>
                <w:sz w:val="20"/>
                <w:szCs w:val="20"/>
                <w:u w:val="none"/>
              </w:rPr>
            </w:pPr>
          </w:p>
        </w:tc>
      </w:tr>
      <w:tr w14:paraId="661C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61E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5449">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301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90D6">
            <w:pPr>
              <w:jc w:val="left"/>
              <w:rPr>
                <w:rFonts w:hint="eastAsia" w:ascii="宋体" w:hAnsi="宋体" w:eastAsia="宋体" w:cs="宋体"/>
                <w:i w:val="0"/>
                <w:iCs w:val="0"/>
                <w:color w:val="000000"/>
                <w:sz w:val="20"/>
                <w:szCs w:val="20"/>
                <w:u w:val="none"/>
              </w:rPr>
            </w:pPr>
          </w:p>
        </w:tc>
      </w:tr>
      <w:tr w14:paraId="5E30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BAB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30C4">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E7D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D244">
            <w:pPr>
              <w:jc w:val="left"/>
              <w:rPr>
                <w:rFonts w:hint="eastAsia" w:ascii="宋体" w:hAnsi="宋体" w:eastAsia="宋体" w:cs="宋体"/>
                <w:i w:val="0"/>
                <w:iCs w:val="0"/>
                <w:color w:val="000000"/>
                <w:sz w:val="20"/>
                <w:szCs w:val="20"/>
                <w:u w:val="none"/>
              </w:rPr>
            </w:pPr>
          </w:p>
        </w:tc>
      </w:tr>
      <w:tr w14:paraId="367A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F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证书及政府认可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7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BD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具备以下资质之一即可，不累计得分：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1、环境工程专项（废气）设计甲级资质，得5分；乙级资质，得4分；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2、环保工程专业承包一级资质，得5分；二级资质，得4分；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3、综合设计甲级（化工、冶金），得5分；乙级得4分。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4、无，得0.5分。</w:t>
            </w:r>
          </w:p>
        </w:tc>
      </w:tr>
      <w:tr w14:paraId="08B6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B39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400D">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A9E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23BB">
            <w:pPr>
              <w:jc w:val="left"/>
              <w:rPr>
                <w:rFonts w:hint="eastAsia" w:ascii="宋体" w:hAnsi="宋体" w:eastAsia="宋体" w:cs="宋体"/>
                <w:i w:val="0"/>
                <w:iCs w:val="0"/>
                <w:color w:val="000000"/>
                <w:sz w:val="20"/>
                <w:szCs w:val="20"/>
                <w:u w:val="none"/>
              </w:rPr>
            </w:pPr>
          </w:p>
        </w:tc>
      </w:tr>
      <w:tr w14:paraId="740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4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2F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提供近三年内超</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00万（金额、产品类似）合同复印件（每提供1个得2分，最高10分，少于3份不得分）</w:t>
            </w:r>
          </w:p>
        </w:tc>
      </w:tr>
      <w:tr w14:paraId="4017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8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8A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0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有完整的组织框架机构及员工数量，并提供70%职工人数及职工参加“三险”的记录，5分</w:t>
            </w:r>
          </w:p>
        </w:tc>
      </w:tr>
      <w:tr w14:paraId="27C9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D0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利润状况、资金流动状况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51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8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2024年现金流净流入为负数不得分，100万以内得3分，100万-200万得4分，200万以上得5分；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2024年净利润300万以下得3分，300-1000万得4分，1000万以上得5分；2024年营业收入2000万以内的，得3分，3000万-5000万的，得4分，5000万以上的，得5分；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2024年资产负债率为60%的，得5分，负债率每高5%的，扣1分，最高扣除5分；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本项最高得分20分。</w:t>
            </w:r>
          </w:p>
        </w:tc>
      </w:tr>
      <w:tr w14:paraId="24D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C7B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5298">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9BF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6095">
            <w:pPr>
              <w:jc w:val="left"/>
              <w:rPr>
                <w:rFonts w:hint="eastAsia" w:ascii="宋体" w:hAnsi="宋体" w:eastAsia="宋体" w:cs="宋体"/>
                <w:i w:val="0"/>
                <w:iCs w:val="0"/>
                <w:color w:val="000000"/>
                <w:sz w:val="20"/>
                <w:szCs w:val="20"/>
                <w:u w:val="none"/>
              </w:rPr>
            </w:pPr>
          </w:p>
        </w:tc>
      </w:tr>
      <w:tr w14:paraId="087C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B63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15F7">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639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D482">
            <w:pPr>
              <w:jc w:val="left"/>
              <w:rPr>
                <w:rFonts w:hint="eastAsia" w:ascii="宋体" w:hAnsi="宋体" w:eastAsia="宋体" w:cs="宋体"/>
                <w:i w:val="0"/>
                <w:iCs w:val="0"/>
                <w:color w:val="000000"/>
                <w:sz w:val="20"/>
                <w:szCs w:val="20"/>
                <w:u w:val="none"/>
              </w:rPr>
            </w:pPr>
          </w:p>
        </w:tc>
      </w:tr>
      <w:tr w14:paraId="64BE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98C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F8DE">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8C3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DEDA">
            <w:pPr>
              <w:jc w:val="left"/>
              <w:rPr>
                <w:rFonts w:hint="eastAsia" w:ascii="宋体" w:hAnsi="宋体" w:eastAsia="宋体" w:cs="宋体"/>
                <w:i w:val="0"/>
                <w:iCs w:val="0"/>
                <w:color w:val="000000"/>
                <w:sz w:val="20"/>
                <w:szCs w:val="20"/>
                <w:u w:val="none"/>
              </w:rPr>
            </w:pPr>
          </w:p>
        </w:tc>
      </w:tr>
      <w:tr w14:paraId="2CF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77F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A8CD">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A09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6F2E">
            <w:pPr>
              <w:jc w:val="left"/>
              <w:rPr>
                <w:rFonts w:hint="eastAsia" w:ascii="宋体" w:hAnsi="宋体" w:eastAsia="宋体" w:cs="宋体"/>
                <w:i w:val="0"/>
                <w:iCs w:val="0"/>
                <w:color w:val="000000"/>
                <w:sz w:val="20"/>
                <w:szCs w:val="20"/>
                <w:u w:val="none"/>
              </w:rPr>
            </w:pPr>
          </w:p>
        </w:tc>
      </w:tr>
      <w:tr w14:paraId="4C92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1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5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2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AD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详细完整的“三包”、免费保修及售后服务措施和方案（质保年限、服务倡议书、产品质量保证、维护使用培训和回访机制各得1分）</w:t>
            </w:r>
          </w:p>
        </w:tc>
      </w:tr>
      <w:tr w14:paraId="7493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C5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EA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司法纠纷案件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65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每查询到一项近三年内作为被告方的合同纠纷，扣2分；无合同纠纷，得10分。</w:t>
            </w:r>
          </w:p>
        </w:tc>
      </w:tr>
      <w:tr w14:paraId="3ED9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843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EF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3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AACDA">
            <w:pPr>
              <w:jc w:val="left"/>
              <w:rPr>
                <w:rFonts w:hint="eastAsia" w:ascii="宋体" w:hAnsi="宋体" w:eastAsia="宋体" w:cs="宋体"/>
                <w:i w:val="0"/>
                <w:iCs w:val="0"/>
                <w:color w:val="000000"/>
                <w:sz w:val="20"/>
                <w:szCs w:val="20"/>
                <w:u w:val="none"/>
              </w:rPr>
            </w:pPr>
          </w:p>
        </w:tc>
      </w:tr>
    </w:tbl>
    <w:p w14:paraId="3AB37F62">
      <w:pPr>
        <w:pStyle w:val="3"/>
        <w:spacing w:line="360" w:lineRule="auto"/>
        <w:ind w:firstLine="570"/>
        <w:rPr>
          <w:rFonts w:hint="eastAsia" w:ascii="宋体" w:hAnsi="宋体" w:cs="宋体"/>
          <w:sz w:val="28"/>
          <w:szCs w:val="28"/>
        </w:rPr>
      </w:pPr>
    </w:p>
    <w:p w14:paraId="0E3A5833">
      <w:pPr>
        <w:pStyle w:val="3"/>
        <w:spacing w:line="360" w:lineRule="auto"/>
        <w:ind w:firstLine="280" w:firstLineChars="1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）技术标书</w:t>
      </w:r>
    </w:p>
    <w:p w14:paraId="1708AB35">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根据福建科达新能源科技有限公司</w:t>
      </w:r>
      <w:r>
        <w:rPr>
          <w:rFonts w:hint="eastAsia" w:ascii="宋体" w:hAnsi="宋体" w:cs="宋体"/>
          <w:sz w:val="28"/>
          <w:szCs w:val="28"/>
          <w:lang w:val="en-US" w:eastAsia="zh-CN"/>
        </w:rPr>
        <w:t>D</w:t>
      </w:r>
      <w:r>
        <w:rPr>
          <w:rFonts w:hint="eastAsia" w:ascii="宋体" w:hAnsi="宋体" w:cs="宋体"/>
          <w:sz w:val="28"/>
          <w:szCs w:val="28"/>
        </w:rPr>
        <w:t>区烟气脱硫系统技术评分</w:t>
      </w:r>
      <w:r>
        <w:rPr>
          <w:rFonts w:ascii="宋体" w:hAnsi="宋体" w:cs="宋体"/>
          <w:sz w:val="28"/>
          <w:szCs w:val="28"/>
        </w:rPr>
        <w:t>要求</w:t>
      </w:r>
      <w:r>
        <w:rPr>
          <w:rFonts w:hint="eastAsia" w:ascii="宋体" w:hAnsi="宋体" w:cs="宋体"/>
          <w:sz w:val="28"/>
          <w:szCs w:val="28"/>
        </w:rPr>
        <w:t>编制</w:t>
      </w:r>
      <w:r>
        <w:rPr>
          <w:rFonts w:ascii="宋体" w:hAnsi="宋体" w:cs="宋体"/>
          <w:sz w:val="28"/>
          <w:szCs w:val="28"/>
        </w:rPr>
        <w:t>技术</w:t>
      </w:r>
      <w:r>
        <w:rPr>
          <w:rFonts w:hint="eastAsia" w:ascii="宋体" w:hAnsi="宋体" w:cs="宋体"/>
          <w:sz w:val="28"/>
          <w:szCs w:val="28"/>
        </w:rPr>
        <w:t>标，并在技术标首页按技术评分一览表上注明评分内容对应的资料页码。如果有技术偏离，请在资料中注明。</w:t>
      </w:r>
      <w:r>
        <w:rPr>
          <w:rFonts w:hint="eastAsia" w:ascii="宋体" w:hAnsi="宋体" w:cs="宋体"/>
          <w:sz w:val="28"/>
          <w:szCs w:val="28"/>
          <w:lang w:val="en-US" w:eastAsia="zh-CN"/>
        </w:rPr>
        <w:t>技术</w:t>
      </w:r>
      <w:r>
        <w:rPr>
          <w:rFonts w:ascii="宋体" w:hAnsi="宋体" w:cs="宋体"/>
          <w:sz w:val="28"/>
          <w:szCs w:val="28"/>
        </w:rPr>
        <w:t>得分超过</w:t>
      </w:r>
      <w:r>
        <w:rPr>
          <w:rFonts w:hint="eastAsia" w:ascii="宋体" w:hAnsi="宋体" w:cs="宋体"/>
          <w:sz w:val="28"/>
          <w:szCs w:val="28"/>
          <w:lang w:val="en-US" w:eastAsia="zh-CN"/>
        </w:rPr>
        <w:t>7</w:t>
      </w:r>
      <w:r>
        <w:rPr>
          <w:rFonts w:hint="eastAsia" w:ascii="宋体" w:hAnsi="宋体" w:cs="宋体"/>
          <w:sz w:val="28"/>
          <w:szCs w:val="28"/>
        </w:rPr>
        <w:t>0分</w:t>
      </w:r>
      <w:r>
        <w:rPr>
          <w:rFonts w:ascii="宋体" w:hAnsi="宋体" w:cs="宋体"/>
          <w:sz w:val="28"/>
          <w:szCs w:val="28"/>
        </w:rPr>
        <w:t>方可进</w:t>
      </w:r>
      <w:r>
        <w:rPr>
          <w:rFonts w:hint="eastAsia" w:ascii="宋体" w:hAnsi="宋体" w:cs="宋体"/>
          <w:sz w:val="28"/>
          <w:szCs w:val="28"/>
        </w:rPr>
        <w:t>入</w:t>
      </w:r>
      <w:r>
        <w:rPr>
          <w:rFonts w:hint="eastAsia" w:ascii="宋体" w:hAnsi="宋体" w:cs="宋体"/>
          <w:sz w:val="28"/>
          <w:szCs w:val="28"/>
          <w:lang w:val="en-US" w:eastAsia="zh-CN"/>
        </w:rPr>
        <w:t>价格</w:t>
      </w:r>
      <w:r>
        <w:rPr>
          <w:rFonts w:ascii="宋体" w:hAnsi="宋体" w:cs="宋体"/>
          <w:sz w:val="28"/>
          <w:szCs w:val="28"/>
        </w:rPr>
        <w:t>投标。</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957"/>
        <w:gridCol w:w="1321"/>
        <w:gridCol w:w="951"/>
        <w:gridCol w:w="3890"/>
        <w:gridCol w:w="461"/>
      </w:tblGrid>
      <w:tr w14:paraId="7FC3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7BE4B">
            <w:pPr>
              <w:snapToGrid w:val="0"/>
              <w:spacing w:line="360" w:lineRule="auto"/>
              <w:ind w:firstLine="482" w:firstLineChars="200"/>
              <w:jc w:val="center"/>
              <w:rPr>
                <w:rFonts w:hint="eastAsia" w:ascii="宋体" w:hAnsi="宋体" w:cs="宋体"/>
                <w:sz w:val="28"/>
                <w:szCs w:val="28"/>
              </w:rPr>
            </w:pPr>
            <w:r>
              <w:rPr>
                <w:rFonts w:hint="eastAsia" w:ascii="宋体" w:hAnsi="宋体" w:eastAsia="宋体" w:cs="宋体"/>
                <w:b/>
                <w:bCs/>
                <w:i w:val="0"/>
                <w:iCs w:val="0"/>
                <w:color w:val="000000"/>
                <w:kern w:val="0"/>
                <w:sz w:val="24"/>
                <w:szCs w:val="24"/>
                <w:u w:val="none"/>
                <w:lang w:val="en-US" w:eastAsia="zh-CN" w:bidi="ar"/>
              </w:rPr>
              <w:t>福建科达新能源科技有限公司</w:t>
            </w:r>
            <w:r>
              <w:rPr>
                <w:rFonts w:hint="eastAsia" w:ascii="宋体" w:hAnsi="宋体" w:cs="宋体"/>
                <w:b/>
                <w:bCs/>
                <w:i w:val="0"/>
                <w:iCs w:val="0"/>
                <w:color w:val="000000"/>
                <w:kern w:val="0"/>
                <w:sz w:val="24"/>
                <w:szCs w:val="24"/>
                <w:u w:val="none"/>
                <w:lang w:val="en-US" w:eastAsia="zh-CN" w:bidi="ar"/>
              </w:rPr>
              <w:t>D</w:t>
            </w:r>
            <w:r>
              <w:rPr>
                <w:rFonts w:hint="eastAsia" w:ascii="宋体" w:hAnsi="宋体" w:eastAsia="宋体" w:cs="宋体"/>
                <w:b/>
                <w:bCs/>
                <w:i w:val="0"/>
                <w:iCs w:val="0"/>
                <w:color w:val="000000"/>
                <w:kern w:val="0"/>
                <w:sz w:val="24"/>
                <w:szCs w:val="24"/>
                <w:u w:val="none"/>
                <w:lang w:val="en-US" w:eastAsia="zh-CN" w:bidi="ar"/>
              </w:rPr>
              <w:t>区烟气脱硫系统招标项目技术评分表</w:t>
            </w:r>
          </w:p>
        </w:tc>
      </w:tr>
      <w:tr w14:paraId="24FB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CE13">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E171">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评分大类</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0B62">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评分子项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663F">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分值</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71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评分标准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2FFF">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备注</w:t>
            </w:r>
          </w:p>
        </w:tc>
      </w:tr>
      <w:tr w14:paraId="362C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54C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A448F">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一、技术方案与总体设计</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0B8B">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总体方案匹配度</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6A3">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0562">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完全响应技术规格书要求，1、若采用湿法工艺的，按石灰石-石膏法脱硫工艺，2、满足石墨化与隧道窑共用一套系统、独立风机排烟；3、隧道窑须有应急独立排空功能。不满足淘汰。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E3E">
            <w:pPr>
              <w:snapToGrid w:val="0"/>
              <w:spacing w:line="360" w:lineRule="auto"/>
              <w:ind w:firstLine="420" w:firstLineChars="200"/>
              <w:rPr>
                <w:rFonts w:hint="eastAsia" w:ascii="宋体" w:hAnsi="宋体" w:cs="宋体"/>
                <w:sz w:val="21"/>
                <w:szCs w:val="21"/>
              </w:rPr>
            </w:pPr>
          </w:p>
        </w:tc>
      </w:tr>
      <w:tr w14:paraId="0247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EE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2</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362D">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0550">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设计基础参数响应</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8F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D7D">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完全匹配设计烟气参数、排放指标，不满足淘汰。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896">
            <w:pPr>
              <w:snapToGrid w:val="0"/>
              <w:spacing w:line="360" w:lineRule="auto"/>
              <w:ind w:firstLine="420" w:firstLineChars="200"/>
              <w:rPr>
                <w:rFonts w:hint="eastAsia" w:ascii="宋体" w:hAnsi="宋体" w:cs="宋体"/>
                <w:sz w:val="21"/>
                <w:szCs w:val="21"/>
              </w:rPr>
            </w:pPr>
          </w:p>
        </w:tc>
      </w:tr>
      <w:tr w14:paraId="78AA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E8D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1D26">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37C">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工艺流程图与物料平衡</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9AA">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D8FC">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提供完整的PFD工艺流程图、设计说明书、设备清单、物料平衡表，公用工程消耗量，计算准确、逻辑清晰，完全匹配项目要求，得10分；有缺失或错误每处扣2分，扣完为止。</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D42">
            <w:pPr>
              <w:snapToGrid w:val="0"/>
              <w:spacing w:line="360" w:lineRule="auto"/>
              <w:ind w:firstLine="420" w:firstLineChars="200"/>
              <w:rPr>
                <w:rFonts w:hint="eastAsia" w:ascii="宋体" w:hAnsi="宋体" w:cs="宋体"/>
                <w:sz w:val="21"/>
                <w:szCs w:val="21"/>
              </w:rPr>
            </w:pPr>
          </w:p>
        </w:tc>
      </w:tr>
      <w:tr w14:paraId="4E38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1BD3">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1EC2">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771">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平面布置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A9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2C53">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提供平面、立面布置图（符合制图规范），符合现场条件与规范要求，得6分；不满足淘汰。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BAC6">
            <w:pPr>
              <w:snapToGrid w:val="0"/>
              <w:spacing w:line="360" w:lineRule="auto"/>
              <w:ind w:firstLine="420" w:firstLineChars="200"/>
              <w:rPr>
                <w:rFonts w:hint="eastAsia" w:ascii="宋体" w:hAnsi="宋体" w:cs="宋体"/>
                <w:sz w:val="21"/>
                <w:szCs w:val="21"/>
              </w:rPr>
            </w:pPr>
          </w:p>
        </w:tc>
      </w:tr>
      <w:tr w14:paraId="08CB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D2D">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87300">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二、主要设备性能与配置</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D5CD">
            <w:pPr>
              <w:snapToGrid w:val="0"/>
              <w:spacing w:line="360" w:lineRule="auto"/>
              <w:rPr>
                <w:rFonts w:hint="eastAsia" w:ascii="宋体" w:hAnsi="宋体" w:cs="宋体"/>
                <w:sz w:val="21"/>
                <w:szCs w:val="21"/>
              </w:rPr>
            </w:pPr>
            <w:r>
              <w:rPr>
                <w:rFonts w:hint="eastAsia" w:ascii="宋体" w:hAnsi="宋体" w:cs="宋体"/>
                <w:sz w:val="21"/>
                <w:szCs w:val="21"/>
                <w:lang w:val="en-US" w:eastAsia="zh-CN"/>
              </w:rPr>
              <w:t>烟气系统设备配置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3BFA">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DF6">
            <w:pPr>
              <w:snapToGrid w:val="0"/>
              <w:spacing w:line="360" w:lineRule="auto"/>
              <w:rPr>
                <w:rFonts w:hint="eastAsia" w:ascii="宋体" w:hAnsi="宋体" w:cs="宋体"/>
                <w:sz w:val="21"/>
                <w:szCs w:val="21"/>
              </w:rPr>
            </w:pPr>
            <w:r>
              <w:rPr>
                <w:rFonts w:hint="eastAsia" w:ascii="宋体" w:hAnsi="宋体" w:cs="宋体"/>
                <w:sz w:val="21"/>
                <w:szCs w:val="21"/>
                <w:lang w:val="en-US" w:eastAsia="zh-CN"/>
              </w:rPr>
              <w:t>1. 烟道材质为ND钢、厚度≥6mm，防腐保温符合技术规格书要求，得2分；不满足不得分。2. 排烟风机：4台，2用2备，风量≥110%设计工况、风压≥120%设计工况，变频控制，品牌为章鼓/上鼓/金通灵/或同等品牌，得4分；3. 烟囱设计符合GB/T 50051-2021规范，监测点设置符合技术规格书要求，得2分；不满足不得分。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BF1">
            <w:pPr>
              <w:snapToGrid w:val="0"/>
              <w:spacing w:line="360" w:lineRule="auto"/>
              <w:ind w:firstLine="420" w:firstLineChars="200"/>
              <w:rPr>
                <w:rFonts w:hint="eastAsia" w:ascii="宋体" w:hAnsi="宋体" w:cs="宋体"/>
                <w:sz w:val="21"/>
                <w:szCs w:val="21"/>
              </w:rPr>
            </w:pPr>
          </w:p>
        </w:tc>
      </w:tr>
      <w:tr w14:paraId="32D0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AC5">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068F">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D7C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浆液制备系统配置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F23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590">
            <w:pPr>
              <w:snapToGrid w:val="0"/>
              <w:spacing w:line="360" w:lineRule="auto"/>
              <w:rPr>
                <w:rFonts w:hint="eastAsia" w:ascii="宋体" w:hAnsi="宋体" w:cs="宋体"/>
                <w:sz w:val="21"/>
                <w:szCs w:val="21"/>
              </w:rPr>
            </w:pPr>
            <w:r>
              <w:rPr>
                <w:rFonts w:hint="eastAsia" w:ascii="宋体" w:hAnsi="宋体" w:cs="宋体"/>
                <w:sz w:val="21"/>
                <w:szCs w:val="21"/>
                <w:lang w:val="en-US" w:eastAsia="zh-CN"/>
              </w:rPr>
              <w:t>1. 石灰石储仓，仓顶除尘器配置齐全，得2分；2. 浆液泵1用1备，计量装置齐全，得2分；3. 浆液罐一用一备，防腐、防沉积装置配置齐全，得2分；</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有缺失或错误每处扣2分，扣完为止</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7DA">
            <w:pPr>
              <w:snapToGrid w:val="0"/>
              <w:spacing w:line="360" w:lineRule="auto"/>
              <w:ind w:firstLine="420" w:firstLineChars="200"/>
              <w:rPr>
                <w:rFonts w:hint="eastAsia" w:ascii="宋体" w:hAnsi="宋体" w:cs="宋体"/>
                <w:sz w:val="21"/>
                <w:szCs w:val="21"/>
              </w:rPr>
            </w:pPr>
          </w:p>
        </w:tc>
      </w:tr>
      <w:tr w14:paraId="3CBB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95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696A">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4AA7">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脱硫吸收系统配置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D47">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9</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B7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1. 脱硫塔设计满足排放指标要求，除雾器配置上下自动冲洗，得3分；2. 喷淋层配置合理，循环泵1层1台，流量≥110%设计值、扬程≥120%设计值，品牌为柳州酸王/襄王525/强大泵业或同等品牌，得3分；3. 氧化风机2台，1用1备，品牌为山东章鼓/百事德（江苏）/三牛或同等品牌，噪声≤85dB(A)，得3分；有缺失或错误每处扣3分，扣完为止</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07C">
            <w:pPr>
              <w:snapToGrid w:val="0"/>
              <w:spacing w:line="360" w:lineRule="auto"/>
              <w:ind w:firstLine="420" w:firstLineChars="200"/>
              <w:rPr>
                <w:rFonts w:hint="eastAsia" w:ascii="宋体" w:hAnsi="宋体" w:cs="宋体"/>
                <w:sz w:val="21"/>
                <w:szCs w:val="21"/>
              </w:rPr>
            </w:pPr>
          </w:p>
        </w:tc>
      </w:tr>
      <w:tr w14:paraId="48DC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85D">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8</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6C67">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4D13">
            <w:pPr>
              <w:snapToGrid w:val="0"/>
              <w:spacing w:line="360" w:lineRule="auto"/>
              <w:rPr>
                <w:rFonts w:hint="eastAsia" w:ascii="宋体" w:hAnsi="宋体" w:cs="宋体"/>
                <w:sz w:val="21"/>
                <w:szCs w:val="21"/>
              </w:rPr>
            </w:pPr>
            <w:r>
              <w:rPr>
                <w:rFonts w:hint="eastAsia" w:ascii="宋体" w:hAnsi="宋体" w:cs="宋体"/>
                <w:sz w:val="21"/>
                <w:szCs w:val="21"/>
                <w:lang w:val="en-US" w:eastAsia="zh-CN"/>
              </w:rPr>
              <w:t>石膏脱水系统配置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A4BB">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2</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CF7">
            <w:pPr>
              <w:snapToGrid w:val="0"/>
              <w:spacing w:line="360" w:lineRule="auto"/>
              <w:rPr>
                <w:rFonts w:hint="eastAsia" w:ascii="宋体" w:hAnsi="宋体" w:cs="宋体"/>
                <w:sz w:val="21"/>
                <w:szCs w:val="21"/>
              </w:rPr>
            </w:pPr>
            <w:r>
              <w:rPr>
                <w:rFonts w:hint="eastAsia" w:ascii="宋体" w:hAnsi="宋体" w:cs="宋体"/>
                <w:sz w:val="21"/>
                <w:szCs w:val="21"/>
                <w:lang w:val="en-US" w:eastAsia="zh-CN"/>
              </w:rPr>
              <w:t>石膏排出泵1用1备，品牌为柳州酸王/襄王525/强大泵业或同等品牌，得2分；有缺失或错误每处扣2分，扣完为止</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36B">
            <w:pPr>
              <w:snapToGrid w:val="0"/>
              <w:spacing w:line="360" w:lineRule="auto"/>
              <w:ind w:firstLine="420" w:firstLineChars="200"/>
              <w:rPr>
                <w:rFonts w:hint="eastAsia" w:ascii="宋体" w:hAnsi="宋体" w:cs="宋体"/>
                <w:sz w:val="21"/>
                <w:szCs w:val="21"/>
              </w:rPr>
            </w:pPr>
          </w:p>
        </w:tc>
      </w:tr>
      <w:tr w14:paraId="4D7E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E3D">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9</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586D">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39F">
            <w:pPr>
              <w:snapToGrid w:val="0"/>
              <w:spacing w:line="360" w:lineRule="auto"/>
              <w:rPr>
                <w:rFonts w:hint="eastAsia" w:ascii="宋体" w:hAnsi="宋体" w:cs="宋体"/>
                <w:sz w:val="21"/>
                <w:szCs w:val="21"/>
              </w:rPr>
            </w:pPr>
            <w:r>
              <w:rPr>
                <w:rFonts w:hint="eastAsia" w:ascii="宋体" w:hAnsi="宋体" w:cs="宋体"/>
                <w:sz w:val="21"/>
                <w:szCs w:val="21"/>
                <w:lang w:val="en-US" w:eastAsia="zh-CN"/>
              </w:rPr>
              <w:t>电气与控制系统配置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20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D22">
            <w:pPr>
              <w:snapToGrid w:val="0"/>
              <w:spacing w:line="360" w:lineRule="auto"/>
              <w:rPr>
                <w:rFonts w:hint="eastAsia" w:ascii="宋体" w:hAnsi="宋体" w:cs="宋体"/>
                <w:sz w:val="21"/>
                <w:szCs w:val="21"/>
              </w:rPr>
            </w:pPr>
            <w:r>
              <w:rPr>
                <w:rFonts w:hint="eastAsia" w:ascii="宋体" w:hAnsi="宋体" w:cs="宋体"/>
                <w:sz w:val="21"/>
                <w:szCs w:val="21"/>
                <w:lang w:val="en-US" w:eastAsia="zh-CN"/>
              </w:rPr>
              <w:t>1. 低压配电柜采用GGD柜，电器元件品牌为施耐德/ABB/西门子，防护等级符合要求，得2分；2. PLC采用西门子品牌，上位机2套1用1备，配置符合要求，得2分；3. 变频器品牌为汇川/英威腾，关键报警与联锁功能齐全，得2分；4、现场仪表（变送器/物位计/流量计）品牌为川仪/上海自仪或同等品牌，得2分；</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5、进口和出口CMES，品牌采用杭州泽天，得2分。不满足淘汰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8CF">
            <w:pPr>
              <w:snapToGrid w:val="0"/>
              <w:spacing w:line="360" w:lineRule="auto"/>
              <w:ind w:firstLine="420" w:firstLineChars="200"/>
              <w:rPr>
                <w:rFonts w:hint="eastAsia" w:ascii="宋体" w:hAnsi="宋体" w:cs="宋体"/>
                <w:sz w:val="21"/>
                <w:szCs w:val="21"/>
              </w:rPr>
            </w:pPr>
          </w:p>
        </w:tc>
      </w:tr>
      <w:tr w14:paraId="7C5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BFEE">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1484">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D42">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工艺水系统</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6A54">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A07">
            <w:pPr>
              <w:snapToGrid w:val="0"/>
              <w:spacing w:line="360" w:lineRule="auto"/>
              <w:rPr>
                <w:rFonts w:hint="eastAsia" w:ascii="宋体" w:hAnsi="宋体" w:cs="宋体"/>
                <w:sz w:val="21"/>
                <w:szCs w:val="21"/>
              </w:rPr>
            </w:pPr>
            <w:r>
              <w:rPr>
                <w:rFonts w:hint="eastAsia" w:ascii="宋体" w:hAnsi="宋体" w:cs="宋体"/>
                <w:sz w:val="21"/>
                <w:szCs w:val="21"/>
                <w:lang w:val="en-US" w:eastAsia="zh-CN"/>
              </w:rPr>
              <w:t>1. 工艺水系统设计节约用水，冷却水回收利用，工艺水设置计量装置，得3分；未设置不得分。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E57E">
            <w:pPr>
              <w:snapToGrid w:val="0"/>
              <w:spacing w:line="360" w:lineRule="auto"/>
              <w:ind w:firstLine="420" w:firstLineChars="200"/>
              <w:rPr>
                <w:rFonts w:hint="eastAsia" w:ascii="宋体" w:hAnsi="宋体" w:cs="宋体"/>
                <w:sz w:val="21"/>
                <w:szCs w:val="21"/>
              </w:rPr>
            </w:pPr>
          </w:p>
        </w:tc>
      </w:tr>
      <w:tr w14:paraId="3BB6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B2ED">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11</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D510">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A7B">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废水处理系统</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0AE5">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8385">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处理能力≥5m³/h，设备配置满足技术规格书要求，得10分；不符合要求的每偏离1项扣2分，扣完为止。未配置的淘汰。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0B5">
            <w:pPr>
              <w:snapToGrid w:val="0"/>
              <w:spacing w:line="360" w:lineRule="auto"/>
              <w:ind w:firstLine="420" w:firstLineChars="200"/>
              <w:rPr>
                <w:rFonts w:hint="eastAsia" w:ascii="宋体" w:hAnsi="宋体" w:cs="宋体"/>
                <w:sz w:val="21"/>
                <w:szCs w:val="21"/>
              </w:rPr>
            </w:pPr>
          </w:p>
        </w:tc>
      </w:tr>
      <w:tr w14:paraId="7C66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33E">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12</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2D2D1">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三、系统安全与可靠性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BF10">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事故系统配置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B4E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E0B">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设置完整的事故返回系统，事故泵2台1备，搅拌器及配套设施齐全，得3分；不满足不得分。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4E5D">
            <w:pPr>
              <w:snapToGrid w:val="0"/>
              <w:spacing w:line="360" w:lineRule="auto"/>
              <w:ind w:firstLine="420" w:firstLineChars="200"/>
              <w:rPr>
                <w:rFonts w:hint="eastAsia" w:ascii="宋体" w:hAnsi="宋体" w:cs="宋体"/>
                <w:sz w:val="21"/>
                <w:szCs w:val="21"/>
              </w:rPr>
            </w:pPr>
          </w:p>
        </w:tc>
      </w:tr>
      <w:tr w14:paraId="4E53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AF8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13</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FE17">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9907">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设备能效与环保要求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86E">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6F75">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所有电气类设备符合国家二级能效标准，系统设计符合环保相关规范要求，得3分；不满足不得分。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2B28">
            <w:pPr>
              <w:snapToGrid w:val="0"/>
              <w:spacing w:line="360" w:lineRule="auto"/>
              <w:ind w:firstLine="420" w:firstLineChars="200"/>
              <w:rPr>
                <w:rFonts w:hint="eastAsia" w:ascii="宋体" w:hAnsi="宋体" w:cs="宋体"/>
                <w:sz w:val="21"/>
                <w:szCs w:val="21"/>
              </w:rPr>
            </w:pPr>
          </w:p>
        </w:tc>
      </w:tr>
      <w:tr w14:paraId="2AA7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4E4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14</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A214">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013">
            <w:pPr>
              <w:snapToGrid w:val="0"/>
              <w:spacing w:line="360" w:lineRule="auto"/>
              <w:rPr>
                <w:rFonts w:hint="eastAsia" w:ascii="宋体" w:hAnsi="宋体" w:cs="宋体"/>
                <w:sz w:val="21"/>
                <w:szCs w:val="21"/>
              </w:rPr>
            </w:pPr>
            <w:r>
              <w:rPr>
                <w:rFonts w:hint="eastAsia" w:ascii="宋体" w:hAnsi="宋体" w:cs="宋体"/>
                <w:sz w:val="21"/>
                <w:szCs w:val="21"/>
                <w:lang w:val="en-US" w:eastAsia="zh-CN"/>
              </w:rPr>
              <w:t>系统运行预案</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22AB">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4E1C">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提供完整的事故状态下运行预案，覆盖各类突发工况，可操作性强，得4分；不满足不得分。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B62C">
            <w:pPr>
              <w:snapToGrid w:val="0"/>
              <w:spacing w:line="360" w:lineRule="auto"/>
              <w:ind w:firstLine="420" w:firstLineChars="200"/>
              <w:rPr>
                <w:rFonts w:hint="eastAsia" w:ascii="宋体" w:hAnsi="宋体" w:cs="宋体"/>
                <w:sz w:val="21"/>
                <w:szCs w:val="21"/>
              </w:rPr>
            </w:pPr>
          </w:p>
        </w:tc>
      </w:tr>
      <w:tr w14:paraId="10C7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3EB">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A7C3">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四、技术文件交付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A36">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合同阶段技术文件交付计划</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780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146">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明确合同生效后7天内的技术文件交付清单，符合技术规格书要求，交付计划清晰、可落地，得3分；不符合要求不得分。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C99">
            <w:pPr>
              <w:snapToGrid w:val="0"/>
              <w:spacing w:line="360" w:lineRule="auto"/>
              <w:ind w:firstLine="420" w:firstLineChars="200"/>
              <w:rPr>
                <w:rFonts w:hint="eastAsia" w:ascii="宋体" w:hAnsi="宋体" w:cs="宋体"/>
                <w:sz w:val="21"/>
                <w:szCs w:val="21"/>
              </w:rPr>
            </w:pPr>
          </w:p>
        </w:tc>
      </w:tr>
      <w:tr w14:paraId="4AB4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38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08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五、验收与质保服务</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F0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质保期承诺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EE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1562">
            <w:pPr>
              <w:snapToGrid w:val="0"/>
              <w:spacing w:line="360" w:lineRule="auto"/>
              <w:rPr>
                <w:rFonts w:hint="eastAsia" w:ascii="宋体" w:hAnsi="宋体" w:cs="宋体"/>
                <w:sz w:val="21"/>
                <w:szCs w:val="21"/>
              </w:rPr>
            </w:pPr>
            <w:r>
              <w:rPr>
                <w:rFonts w:hint="eastAsia" w:ascii="宋体" w:hAnsi="宋体" w:cs="宋体"/>
                <w:sz w:val="21"/>
                <w:szCs w:val="21"/>
                <w:lang w:val="en-US" w:eastAsia="zh-CN"/>
              </w:rPr>
              <w:t>质保期2年，明确质保范围、质保责任，质保期内服务响应及时，得4分；质保期低于2年的不得分。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BC88">
            <w:pPr>
              <w:snapToGrid w:val="0"/>
              <w:spacing w:line="360" w:lineRule="auto"/>
              <w:ind w:firstLine="420" w:firstLineChars="200"/>
              <w:rPr>
                <w:rFonts w:hint="eastAsia" w:ascii="宋体" w:hAnsi="宋体" w:cs="宋体"/>
                <w:sz w:val="21"/>
                <w:szCs w:val="21"/>
              </w:rPr>
            </w:pPr>
          </w:p>
        </w:tc>
      </w:tr>
      <w:tr w14:paraId="0F91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E4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17</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9458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六、项目实施与管理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096">
            <w:pPr>
              <w:snapToGrid w:val="0"/>
              <w:spacing w:line="360" w:lineRule="auto"/>
              <w:rPr>
                <w:rFonts w:hint="eastAsia" w:ascii="宋体" w:hAnsi="宋体" w:cs="宋体"/>
                <w:sz w:val="21"/>
                <w:szCs w:val="21"/>
              </w:rPr>
            </w:pPr>
            <w:r>
              <w:rPr>
                <w:rFonts w:hint="eastAsia" w:ascii="宋体" w:hAnsi="宋体" w:cs="宋体"/>
                <w:sz w:val="21"/>
                <w:szCs w:val="21"/>
                <w:lang w:val="en-US" w:eastAsia="zh-CN"/>
              </w:rPr>
              <w:t>项目实施团队</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5E4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7CBE">
            <w:pPr>
              <w:snapToGrid w:val="0"/>
              <w:spacing w:line="360" w:lineRule="auto"/>
              <w:rPr>
                <w:rFonts w:hint="eastAsia" w:ascii="宋体" w:hAnsi="宋体" w:cs="宋体"/>
                <w:sz w:val="21"/>
                <w:szCs w:val="21"/>
              </w:rPr>
            </w:pPr>
            <w:r>
              <w:rPr>
                <w:rFonts w:hint="eastAsia" w:ascii="宋体" w:hAnsi="宋体" w:cs="宋体"/>
                <w:sz w:val="21"/>
                <w:szCs w:val="21"/>
                <w:lang w:val="en-US" w:eastAsia="zh-CN"/>
              </w:rPr>
              <w:t>项目团队配置齐全，得3分；未配置团队方案的不得分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A7E">
            <w:pPr>
              <w:snapToGrid w:val="0"/>
              <w:spacing w:line="360" w:lineRule="auto"/>
              <w:ind w:firstLine="420" w:firstLineChars="200"/>
              <w:rPr>
                <w:rFonts w:hint="eastAsia" w:ascii="宋体" w:hAnsi="宋体" w:cs="宋体"/>
                <w:sz w:val="21"/>
                <w:szCs w:val="21"/>
              </w:rPr>
            </w:pPr>
          </w:p>
        </w:tc>
      </w:tr>
      <w:tr w14:paraId="7DB9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F1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18</w:t>
            </w: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7236">
            <w:pPr>
              <w:snapToGrid w:val="0"/>
              <w:spacing w:line="360" w:lineRule="auto"/>
              <w:ind w:firstLine="420" w:firstLineChars="200"/>
              <w:rPr>
                <w:rFonts w:hint="eastAsia" w:ascii="宋体" w:hAnsi="宋体" w:cs="宋体"/>
                <w:sz w:val="21"/>
                <w:szCs w:val="21"/>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65E4">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施工组织与进度计划</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FF1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69D">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提供完整的施工组织方案、详细的进度计划，符合项目工期要求，关键节点清晰，得5分；未提供的不得分。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06A">
            <w:pPr>
              <w:snapToGrid w:val="0"/>
              <w:spacing w:line="360" w:lineRule="auto"/>
              <w:ind w:firstLine="420" w:firstLineChars="200"/>
              <w:rPr>
                <w:rFonts w:hint="eastAsia" w:ascii="宋体" w:hAnsi="宋体" w:cs="宋体"/>
                <w:sz w:val="21"/>
                <w:szCs w:val="21"/>
              </w:rPr>
            </w:pPr>
          </w:p>
        </w:tc>
      </w:tr>
      <w:tr w14:paraId="54A4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9990">
            <w:pPr>
              <w:snapToGrid w:val="0"/>
              <w:spacing w:line="360" w:lineRule="auto"/>
              <w:ind w:firstLine="420" w:firstLineChars="200"/>
              <w:rPr>
                <w:rFonts w:hint="eastAsia" w:ascii="宋体" w:hAnsi="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C5BC">
            <w:pPr>
              <w:snapToGrid w:val="0"/>
              <w:spacing w:line="360" w:lineRule="auto"/>
              <w:rPr>
                <w:rFonts w:hint="eastAsia" w:ascii="宋体" w:hAnsi="宋体" w:cs="宋体"/>
                <w:sz w:val="21"/>
                <w:szCs w:val="21"/>
              </w:rPr>
            </w:pPr>
            <w:r>
              <w:rPr>
                <w:rFonts w:hint="eastAsia" w:ascii="宋体" w:hAnsi="宋体" w:cs="宋体"/>
                <w:sz w:val="21"/>
                <w:szCs w:val="21"/>
                <w:lang w:val="en-US" w:eastAsia="zh-CN"/>
              </w:rPr>
              <w:t>七、加分项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34B1">
            <w:pPr>
              <w:snapToGrid w:val="0"/>
              <w:spacing w:line="360" w:lineRule="auto"/>
              <w:rPr>
                <w:rFonts w:hint="eastAsia" w:ascii="宋体" w:hAnsi="宋体" w:cs="宋体"/>
                <w:sz w:val="21"/>
                <w:szCs w:val="21"/>
              </w:rPr>
            </w:pPr>
            <w:r>
              <w:rPr>
                <w:rFonts w:hint="eastAsia" w:ascii="宋体" w:hAnsi="宋体" w:cs="宋体"/>
                <w:sz w:val="21"/>
                <w:szCs w:val="21"/>
                <w:lang w:val="en-US" w:eastAsia="zh-CN"/>
              </w:rPr>
              <w:t>合理方案建议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2CB0">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F1FA">
            <w:pPr>
              <w:snapToGrid w:val="0"/>
              <w:spacing w:line="360" w:lineRule="auto"/>
              <w:rPr>
                <w:rFonts w:hint="eastAsia" w:ascii="宋体" w:hAnsi="宋体" w:cs="宋体"/>
                <w:sz w:val="21"/>
                <w:szCs w:val="21"/>
              </w:rPr>
            </w:pPr>
            <w:r>
              <w:rPr>
                <w:rFonts w:hint="eastAsia" w:ascii="宋体" w:hAnsi="宋体" w:cs="宋体"/>
                <w:sz w:val="21"/>
                <w:szCs w:val="21"/>
                <w:lang w:val="en-US" w:eastAsia="zh-CN"/>
              </w:rPr>
              <w:t>提出合理可行性改善建议的，得5分，方案经评委认定通过后，得5分。未提供的不得分。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E695">
            <w:pPr>
              <w:snapToGrid w:val="0"/>
              <w:spacing w:line="360" w:lineRule="auto"/>
              <w:ind w:firstLine="420" w:firstLineChars="200"/>
              <w:rPr>
                <w:rFonts w:hint="eastAsia" w:ascii="宋体" w:hAnsi="宋体" w:cs="宋体"/>
                <w:sz w:val="21"/>
                <w:szCs w:val="21"/>
              </w:rPr>
            </w:pPr>
          </w:p>
        </w:tc>
      </w:tr>
      <w:tr w14:paraId="6D8B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1226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合计总分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402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100</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C640">
            <w:pPr>
              <w:snapToGrid w:val="0"/>
              <w:spacing w:line="360" w:lineRule="auto"/>
              <w:ind w:firstLine="420" w:firstLineChars="200"/>
              <w:rPr>
                <w:rFonts w:hint="eastAsia" w:ascii="宋体" w:hAnsi="宋体" w:cs="宋体"/>
                <w:sz w:val="21"/>
                <w:szCs w:val="21"/>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179C4">
            <w:pPr>
              <w:snapToGrid w:val="0"/>
              <w:spacing w:line="360" w:lineRule="auto"/>
              <w:ind w:firstLine="420" w:firstLineChars="200"/>
              <w:rPr>
                <w:rFonts w:hint="eastAsia" w:ascii="宋体" w:hAnsi="宋体" w:cs="宋体"/>
                <w:sz w:val="21"/>
                <w:szCs w:val="21"/>
              </w:rPr>
            </w:pPr>
          </w:p>
        </w:tc>
      </w:tr>
    </w:tbl>
    <w:p w14:paraId="309F16ED">
      <w:pPr>
        <w:snapToGrid w:val="0"/>
        <w:spacing w:line="360" w:lineRule="auto"/>
        <w:rPr>
          <w:rFonts w:hint="eastAsia" w:ascii="宋体" w:hAnsi="宋体" w:cs="宋体"/>
          <w:sz w:val="28"/>
          <w:szCs w:val="28"/>
        </w:rPr>
      </w:pPr>
    </w:p>
    <w:p w14:paraId="4BC4C06A">
      <w:pPr>
        <w:pStyle w:val="3"/>
        <w:spacing w:line="360" w:lineRule="auto"/>
        <w:ind w:firstLine="280" w:firstLineChars="1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 价格标书</w:t>
      </w:r>
    </w:p>
    <w:p w14:paraId="3C16A9C0">
      <w:pPr>
        <w:snapToGrid w:val="0"/>
        <w:spacing w:line="360" w:lineRule="auto"/>
        <w:ind w:firstLine="280" w:firstLineChars="100"/>
        <w:rPr>
          <w:rFonts w:hint="eastAsia"/>
        </w:rPr>
      </w:pPr>
      <w:r>
        <w:rPr>
          <w:rFonts w:hint="eastAsia" w:ascii="宋体" w:hAnsi="宋体" w:cs="宋体"/>
          <w:sz w:val="28"/>
          <w:szCs w:val="28"/>
        </w:rPr>
        <w:t>（1）在价格标书首页按附件1格式明确福建科达新能源科技有限公司</w:t>
      </w:r>
      <w:r>
        <w:rPr>
          <w:rFonts w:hint="eastAsia" w:ascii="宋体" w:hAnsi="宋体" w:cs="宋体"/>
          <w:sz w:val="28"/>
          <w:szCs w:val="28"/>
          <w:lang w:val="en-US" w:eastAsia="zh-CN"/>
        </w:rPr>
        <w:t>D</w:t>
      </w:r>
      <w:r>
        <w:rPr>
          <w:rFonts w:hint="eastAsia" w:ascii="宋体" w:hAnsi="宋体" w:cs="宋体"/>
          <w:sz w:val="28"/>
          <w:szCs w:val="28"/>
        </w:rPr>
        <w:t>区烟气脱硫系统的</w:t>
      </w:r>
      <w:r>
        <w:rPr>
          <w:rFonts w:ascii="宋体" w:hAnsi="宋体" w:cs="宋体"/>
          <w:sz w:val="28"/>
          <w:szCs w:val="28"/>
        </w:rPr>
        <w:t>报价</w:t>
      </w:r>
      <w:r>
        <w:rPr>
          <w:rFonts w:hint="eastAsia" w:ascii="宋体" w:hAnsi="宋体" w:cs="宋体"/>
          <w:sz w:val="28"/>
          <w:szCs w:val="28"/>
        </w:rPr>
        <w:t>，报价</w:t>
      </w:r>
      <w:r>
        <w:rPr>
          <w:rFonts w:ascii="宋体" w:hAnsi="宋体" w:cs="宋体"/>
          <w:sz w:val="28"/>
          <w:szCs w:val="28"/>
        </w:rPr>
        <w:t>需</w:t>
      </w:r>
      <w:r>
        <w:rPr>
          <w:rFonts w:hint="eastAsia" w:ascii="宋体" w:hAnsi="宋体" w:cs="宋体"/>
          <w:sz w:val="28"/>
          <w:szCs w:val="28"/>
        </w:rPr>
        <w:t>签名盖章，否则按无效投标处理。</w:t>
      </w:r>
    </w:p>
    <w:p w14:paraId="4FBE96EA">
      <w:pPr>
        <w:pStyle w:val="3"/>
        <w:spacing w:line="360" w:lineRule="auto"/>
        <w:rPr>
          <w:rFonts w:hint="eastAsia" w:ascii="宋体" w:hAnsi="宋体" w:cs="宋体"/>
          <w:sz w:val="28"/>
          <w:szCs w:val="28"/>
        </w:rPr>
      </w:pPr>
      <w:r>
        <w:rPr>
          <w:rFonts w:ascii="宋体" w:hAnsi="宋体" w:cs="宋体"/>
          <w:sz w:val="28"/>
          <w:szCs w:val="28"/>
        </w:rPr>
        <w:t>6</w:t>
      </w:r>
      <w:r>
        <w:rPr>
          <w:rFonts w:hint="eastAsia" w:ascii="宋体" w:hAnsi="宋体" w:cs="宋体"/>
          <w:sz w:val="28"/>
          <w:szCs w:val="28"/>
        </w:rPr>
        <w:t>.</w:t>
      </w:r>
      <w:r>
        <w:rPr>
          <w:rFonts w:hint="eastAsia" w:ascii="宋体" w:hAnsi="宋体" w:cs="宋体"/>
          <w:b/>
          <w:sz w:val="28"/>
          <w:szCs w:val="28"/>
        </w:rPr>
        <w:t>投标截止时间</w:t>
      </w:r>
      <w:r>
        <w:rPr>
          <w:rFonts w:hint="eastAsia" w:ascii="宋体" w:hAnsi="宋体" w:cs="宋体"/>
          <w:sz w:val="28"/>
          <w:szCs w:val="28"/>
        </w:rPr>
        <w:t>：</w:t>
      </w:r>
    </w:p>
    <w:p w14:paraId="5708B1B3">
      <w:pPr>
        <w:pStyle w:val="3"/>
        <w:spacing w:line="360" w:lineRule="auto"/>
        <w:rPr>
          <w:rFonts w:hint="eastAsia"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投标文件密封后封面务必注明：福建科达新能源科技有限公司</w:t>
      </w:r>
      <w:r>
        <w:rPr>
          <w:rFonts w:hint="eastAsia" w:ascii="宋体" w:hAnsi="宋体" w:cs="宋体"/>
          <w:sz w:val="28"/>
          <w:szCs w:val="28"/>
          <w:lang w:val="en-US" w:eastAsia="zh-CN"/>
        </w:rPr>
        <w:t>D</w:t>
      </w:r>
      <w:r>
        <w:rPr>
          <w:rFonts w:hint="eastAsia" w:ascii="宋体" w:hAnsi="宋体" w:cs="宋体"/>
          <w:sz w:val="28"/>
          <w:szCs w:val="28"/>
        </w:rPr>
        <w:t>区烟气脱硫系统投标文件，加盖公章后，寄送或送达福建省三明市大田县太华镇罗丰工业园福建科达新能源科技有限公司，收件人（</w:t>
      </w:r>
      <w:r>
        <w:rPr>
          <w:rFonts w:hint="eastAsia" w:ascii="宋体" w:hAnsi="宋体" w:cs="宋体"/>
          <w:sz w:val="28"/>
          <w:szCs w:val="28"/>
          <w:highlight w:val="none"/>
          <w:lang w:val="en-US" w:eastAsia="zh-CN"/>
        </w:rPr>
        <w:t>财务</w:t>
      </w:r>
      <w:r>
        <w:rPr>
          <w:rFonts w:hint="eastAsia" w:ascii="宋体" w:hAnsi="宋体" w:cs="宋体"/>
          <w:sz w:val="28"/>
          <w:szCs w:val="28"/>
          <w:highlight w:val="none"/>
        </w:rPr>
        <w:t>部：</w:t>
      </w:r>
      <w:r>
        <w:rPr>
          <w:rFonts w:hint="eastAsia" w:ascii="宋体" w:hAnsi="宋体" w:cs="宋体"/>
          <w:sz w:val="28"/>
          <w:szCs w:val="28"/>
          <w:highlight w:val="none"/>
          <w:lang w:val="en-US" w:eastAsia="zh-CN"/>
        </w:rPr>
        <w:t>李亚平</w:t>
      </w:r>
      <w:r>
        <w:rPr>
          <w:rFonts w:hint="eastAsia" w:ascii="宋体" w:hAnsi="宋体" w:cs="宋体"/>
          <w:sz w:val="28"/>
          <w:szCs w:val="28"/>
          <w:highlight w:val="none"/>
        </w:rPr>
        <w:t>、联系电话：18065585963）（投标人需将电子版投标文件拷贝到U盘与标书一并送达）。资格预审标</w:t>
      </w:r>
      <w:r>
        <w:rPr>
          <w:rFonts w:hint="eastAsia" w:ascii="宋体" w:hAnsi="宋体" w:cs="宋体"/>
          <w:sz w:val="28"/>
          <w:szCs w:val="28"/>
        </w:rPr>
        <w:t>书送到截止时间为202</w:t>
      </w:r>
      <w:r>
        <w:rPr>
          <w:rFonts w:hint="eastAsia" w:ascii="宋体" w:hAnsi="宋体" w:cs="宋体"/>
          <w:sz w:val="28"/>
          <w:szCs w:val="28"/>
          <w:lang w:val="en-US" w:eastAsia="zh-CN"/>
        </w:rPr>
        <w:t>6</w:t>
      </w:r>
      <w:r>
        <w:rPr>
          <w:rFonts w:hint="eastAsia" w:ascii="宋体" w:hAnsi="宋体" w:cs="宋体"/>
          <w:sz w:val="28"/>
          <w:szCs w:val="28"/>
        </w:rPr>
        <w:t>年0</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29</w:t>
      </w:r>
      <w:r>
        <w:rPr>
          <w:rFonts w:hint="eastAsia" w:ascii="宋体" w:hAnsi="宋体" w:cs="宋体"/>
          <w:sz w:val="28"/>
          <w:szCs w:val="28"/>
        </w:rPr>
        <w:t>日下午17:00，标书送达</w:t>
      </w:r>
      <w:r>
        <w:rPr>
          <w:rFonts w:ascii="宋体" w:hAnsi="宋体" w:cs="宋体"/>
          <w:sz w:val="28"/>
          <w:szCs w:val="28"/>
        </w:rPr>
        <w:t>截止时间计划为</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年0</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07</w:t>
      </w:r>
      <w:r>
        <w:rPr>
          <w:rFonts w:hint="eastAsia" w:ascii="宋体" w:hAnsi="宋体" w:cs="宋体"/>
          <w:sz w:val="28"/>
          <w:szCs w:val="28"/>
        </w:rPr>
        <w:t>日下午17:00。</w:t>
      </w:r>
    </w:p>
    <w:p w14:paraId="2BD975AE">
      <w:pPr>
        <w:snapToGrid w:val="0"/>
        <w:spacing w:line="360" w:lineRule="auto"/>
        <w:rPr>
          <w:rFonts w:hint="eastAsia" w:ascii="宋体" w:hAnsi="宋体" w:eastAsia="宋体" w:cs="宋体"/>
          <w:b/>
          <w:sz w:val="28"/>
          <w:szCs w:val="28"/>
          <w:lang w:eastAsia="zh-CN"/>
        </w:rPr>
      </w:pPr>
      <w:r>
        <w:rPr>
          <w:rFonts w:hint="eastAsia" w:ascii="宋体" w:hAnsi="宋体" w:cs="宋体"/>
          <w:b/>
          <w:sz w:val="28"/>
          <w:szCs w:val="28"/>
        </w:rPr>
        <w:t>8.合同支付</w:t>
      </w:r>
      <w:r>
        <w:rPr>
          <w:rFonts w:hint="eastAsia" w:ascii="宋体" w:hAnsi="宋体" w:cs="宋体"/>
          <w:b/>
          <w:sz w:val="28"/>
          <w:szCs w:val="28"/>
          <w:lang w:eastAsia="zh-CN"/>
        </w:rPr>
        <w:t>：</w:t>
      </w:r>
    </w:p>
    <w:p w14:paraId="1FFEA8E0">
      <w:pPr>
        <w:snapToGrid w:val="0"/>
        <w:spacing w:line="360" w:lineRule="auto"/>
        <w:ind w:firstLine="280" w:firstLineChars="100"/>
        <w:rPr>
          <w:rFonts w:ascii="宋体" w:hAnsi="宋体" w:cs="宋体"/>
          <w:sz w:val="28"/>
          <w:szCs w:val="28"/>
        </w:rPr>
      </w:pPr>
      <w:r>
        <w:rPr>
          <w:rFonts w:hint="eastAsia" w:ascii="宋体" w:hAnsi="宋体" w:cs="宋体"/>
          <w:sz w:val="28"/>
          <w:szCs w:val="28"/>
        </w:rPr>
        <w:t>本招标项目的投标应以人民币报价，合同实施时亦以人民币支付。本投标报价应含13％增值税和</w:t>
      </w:r>
      <w:r>
        <w:rPr>
          <w:rFonts w:hint="eastAsia" w:ascii="宋体" w:hAnsi="宋体" w:cs="宋体"/>
          <w:sz w:val="28"/>
          <w:szCs w:val="28"/>
          <w:lang w:val="en-US" w:eastAsia="zh-CN"/>
        </w:rPr>
        <w:t>其他规</w:t>
      </w:r>
      <w:r>
        <w:rPr>
          <w:rFonts w:hint="eastAsia" w:ascii="宋体" w:hAnsi="宋体" w:cs="宋体"/>
          <w:sz w:val="28"/>
          <w:szCs w:val="28"/>
        </w:rPr>
        <w:t>费等，如有异议请另作说明。</w:t>
      </w:r>
    </w:p>
    <w:p w14:paraId="65C83409">
      <w:pPr>
        <w:snapToGrid w:val="0"/>
        <w:spacing w:line="360" w:lineRule="auto"/>
        <w:rPr>
          <w:rFonts w:hint="eastAsia" w:ascii="宋体" w:hAnsi="宋体" w:cs="宋体"/>
          <w:sz w:val="28"/>
          <w:szCs w:val="28"/>
        </w:rPr>
      </w:pPr>
      <w:r>
        <w:rPr>
          <w:rFonts w:hint="eastAsia" w:ascii="宋体" w:hAnsi="宋体" w:cs="宋体"/>
          <w:b/>
          <w:sz w:val="28"/>
          <w:szCs w:val="28"/>
        </w:rPr>
        <w:t>9.付款方式</w:t>
      </w:r>
      <w:r>
        <w:rPr>
          <w:rFonts w:hint="eastAsia" w:ascii="宋体" w:hAnsi="宋体" w:cs="宋体"/>
          <w:sz w:val="28"/>
          <w:szCs w:val="28"/>
        </w:rPr>
        <w:t>：</w:t>
      </w:r>
    </w:p>
    <w:p w14:paraId="60E5255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付款</w:t>
      </w:r>
      <w:r>
        <w:rPr>
          <w:rFonts w:ascii="宋体" w:hAnsi="宋体" w:cs="宋体"/>
          <w:sz w:val="28"/>
          <w:szCs w:val="28"/>
        </w:rPr>
        <w:t>方式为</w:t>
      </w:r>
      <w:r>
        <w:rPr>
          <w:rFonts w:hint="eastAsia" w:ascii="宋体" w:hAnsi="宋体" w:cs="宋体"/>
          <w:sz w:val="28"/>
          <w:szCs w:val="28"/>
          <w:lang w:val="en-US" w:eastAsia="zh-CN"/>
        </w:rPr>
        <w:t>银行转账</w:t>
      </w:r>
      <w:r>
        <w:rPr>
          <w:rFonts w:hint="eastAsia" w:ascii="宋体" w:hAnsi="宋体" w:cs="宋体"/>
          <w:sz w:val="28"/>
          <w:szCs w:val="28"/>
        </w:rPr>
        <w:t>，</w:t>
      </w:r>
      <w:r>
        <w:rPr>
          <w:rFonts w:ascii="宋体" w:hAnsi="宋体" w:cs="宋体"/>
          <w:sz w:val="28"/>
          <w:szCs w:val="28"/>
        </w:rPr>
        <w:t>预付</w:t>
      </w:r>
      <w:r>
        <w:rPr>
          <w:rFonts w:hint="eastAsia" w:ascii="宋体" w:hAnsi="宋体" w:cs="宋体"/>
          <w:sz w:val="28"/>
          <w:szCs w:val="28"/>
        </w:rPr>
        <w:t>30</w:t>
      </w:r>
      <w:r>
        <w:rPr>
          <w:rFonts w:ascii="宋体" w:hAnsi="宋体" w:cs="宋体"/>
          <w:sz w:val="28"/>
          <w:szCs w:val="28"/>
        </w:rPr>
        <w:t>%，发货前付</w:t>
      </w:r>
      <w:r>
        <w:rPr>
          <w:rFonts w:hint="eastAsia" w:ascii="宋体" w:hAnsi="宋体" w:cs="宋体"/>
          <w:sz w:val="28"/>
          <w:szCs w:val="28"/>
        </w:rPr>
        <w:t>30</w:t>
      </w:r>
      <w:r>
        <w:rPr>
          <w:rFonts w:ascii="宋体" w:hAnsi="宋体" w:cs="宋体"/>
          <w:sz w:val="28"/>
          <w:szCs w:val="28"/>
        </w:rPr>
        <w:t>%，安装调试验收合格后付</w:t>
      </w:r>
      <w:r>
        <w:rPr>
          <w:rFonts w:hint="eastAsia" w:ascii="宋体" w:hAnsi="宋体" w:cs="宋体"/>
          <w:sz w:val="28"/>
          <w:szCs w:val="28"/>
        </w:rPr>
        <w:t>30</w:t>
      </w:r>
      <w:r>
        <w:rPr>
          <w:rFonts w:ascii="宋体" w:hAnsi="宋体" w:cs="宋体"/>
          <w:sz w:val="28"/>
          <w:szCs w:val="28"/>
        </w:rPr>
        <w:t>%，质保</w:t>
      </w:r>
      <w:r>
        <w:rPr>
          <w:rFonts w:hint="eastAsia" w:ascii="宋体" w:hAnsi="宋体" w:cs="宋体"/>
          <w:sz w:val="28"/>
          <w:szCs w:val="28"/>
        </w:rPr>
        <w:t>10</w:t>
      </w:r>
      <w:r>
        <w:rPr>
          <w:rFonts w:ascii="宋体" w:hAnsi="宋体" w:cs="宋体"/>
          <w:sz w:val="28"/>
          <w:szCs w:val="28"/>
        </w:rPr>
        <w:t>%，质保期</w:t>
      </w:r>
      <w:r>
        <w:rPr>
          <w:rFonts w:hint="eastAsia" w:ascii="宋体" w:hAnsi="宋体" w:cs="宋体"/>
          <w:sz w:val="28"/>
          <w:szCs w:val="28"/>
          <w:highlight w:val="none"/>
          <w:lang w:val="en-US" w:eastAsia="zh-CN"/>
        </w:rPr>
        <w:t>2</w:t>
      </w:r>
      <w:r>
        <w:rPr>
          <w:rFonts w:ascii="宋体" w:hAnsi="宋体" w:cs="宋体"/>
          <w:sz w:val="28"/>
          <w:szCs w:val="28"/>
        </w:rPr>
        <w:t>年</w:t>
      </w:r>
      <w:r>
        <w:rPr>
          <w:rFonts w:hint="eastAsia" w:ascii="宋体" w:hAnsi="宋体" w:cs="宋体"/>
          <w:sz w:val="28"/>
          <w:szCs w:val="28"/>
        </w:rPr>
        <w:t>。</w:t>
      </w:r>
    </w:p>
    <w:p w14:paraId="396130B9">
      <w:pPr>
        <w:snapToGrid w:val="0"/>
        <w:spacing w:line="360" w:lineRule="auto"/>
        <w:rPr>
          <w:rFonts w:hint="eastAsia" w:ascii="宋体" w:hAnsi="宋体" w:cs="宋体"/>
          <w:b/>
          <w:sz w:val="28"/>
          <w:szCs w:val="28"/>
        </w:rPr>
      </w:pPr>
      <w:r>
        <w:rPr>
          <w:rFonts w:hint="eastAsia" w:ascii="宋体" w:hAnsi="宋体" w:cs="宋体"/>
          <w:b/>
          <w:sz w:val="28"/>
          <w:szCs w:val="28"/>
        </w:rPr>
        <w:t>10.保证金：</w:t>
      </w:r>
    </w:p>
    <w:p w14:paraId="53A93467">
      <w:pPr>
        <w:snapToGrid w:val="0"/>
        <w:spacing w:line="360" w:lineRule="auto"/>
        <w:ind w:firstLine="280" w:firstLineChars="100"/>
        <w:rPr>
          <w:rFonts w:ascii="宋体" w:hAnsi="宋体" w:cs="宋体"/>
          <w:sz w:val="28"/>
          <w:szCs w:val="28"/>
        </w:rPr>
      </w:pPr>
      <w:r>
        <w:rPr>
          <w:rFonts w:hint="eastAsia" w:ascii="宋体" w:hAnsi="宋体" w:cs="宋体"/>
          <w:sz w:val="28"/>
          <w:szCs w:val="28"/>
        </w:rPr>
        <w:t>1）本次投标需交纳投标保证金人民币</w:t>
      </w:r>
      <w:r>
        <w:rPr>
          <w:rFonts w:hint="eastAsia" w:ascii="宋体" w:hAnsi="宋体" w:cs="宋体"/>
          <w:sz w:val="28"/>
          <w:szCs w:val="28"/>
          <w:highlight w:val="none"/>
          <w:lang w:val="en-US" w:eastAsia="zh-CN"/>
        </w:rPr>
        <w:t>贰</w:t>
      </w:r>
      <w:r>
        <w:rPr>
          <w:rFonts w:hint="eastAsia" w:ascii="宋体" w:hAnsi="宋体" w:cs="宋体"/>
          <w:sz w:val="28"/>
          <w:szCs w:val="28"/>
          <w:highlight w:val="none"/>
        </w:rPr>
        <w:t>拾万元整（￥</w:t>
      </w:r>
      <w:r>
        <w:rPr>
          <w:rFonts w:hint="eastAsia" w:ascii="宋体" w:hAnsi="宋体" w:cs="宋体"/>
          <w:sz w:val="28"/>
          <w:szCs w:val="28"/>
          <w:highlight w:val="none"/>
          <w:lang w:val="en-US" w:eastAsia="zh-CN"/>
        </w:rPr>
        <w:t>40</w:t>
      </w:r>
      <w:r>
        <w:rPr>
          <w:rFonts w:ascii="宋体" w:hAnsi="宋体" w:cs="宋体"/>
          <w:sz w:val="28"/>
          <w:szCs w:val="28"/>
          <w:highlight w:val="none"/>
        </w:rPr>
        <w:t>00</w:t>
      </w:r>
      <w:r>
        <w:rPr>
          <w:rFonts w:hint="eastAsia" w:ascii="宋体" w:hAnsi="宋体" w:cs="宋体"/>
          <w:sz w:val="28"/>
          <w:szCs w:val="28"/>
          <w:highlight w:val="none"/>
        </w:rPr>
        <w:t>00.00元），需在</w:t>
      </w:r>
      <w:r>
        <w:rPr>
          <w:rFonts w:ascii="宋体" w:hAnsi="宋体" w:cs="宋体"/>
          <w:sz w:val="28"/>
          <w:szCs w:val="28"/>
          <w:highlight w:val="none"/>
        </w:rPr>
        <w:t>投标截止日前</w:t>
      </w:r>
      <w:r>
        <w:rPr>
          <w:rFonts w:hint="eastAsia" w:ascii="宋体" w:hAnsi="宋体" w:cs="宋体"/>
          <w:sz w:val="28"/>
          <w:szCs w:val="28"/>
          <w:highlight w:val="none"/>
        </w:rPr>
        <w:t>汇入，</w:t>
      </w:r>
      <w:r>
        <w:rPr>
          <w:rFonts w:ascii="宋体" w:hAnsi="宋体" w:cs="宋体"/>
          <w:sz w:val="28"/>
          <w:szCs w:val="28"/>
          <w:highlight w:val="none"/>
        </w:rPr>
        <w:t>汇入</w:t>
      </w:r>
      <w:r>
        <w:rPr>
          <w:rFonts w:hint="eastAsia" w:ascii="宋体" w:hAnsi="宋体" w:cs="宋体"/>
          <w:sz w:val="28"/>
          <w:szCs w:val="28"/>
          <w:highlight w:val="none"/>
        </w:rPr>
        <w:t>单位</w:t>
      </w:r>
      <w:r>
        <w:rPr>
          <w:rFonts w:hint="eastAsia" w:ascii="宋体" w:hAnsi="宋体" w:cs="宋体"/>
          <w:sz w:val="28"/>
          <w:szCs w:val="28"/>
        </w:rPr>
        <w:t>：福建科达新能源科技有限公司，投标人在转帐汇款时务必在备注中写明：福建科达新能源科技有限公司</w:t>
      </w:r>
      <w:r>
        <w:rPr>
          <w:rFonts w:hint="eastAsia" w:ascii="宋体" w:hAnsi="宋体" w:cs="宋体"/>
          <w:sz w:val="28"/>
          <w:szCs w:val="28"/>
          <w:lang w:val="en-US" w:eastAsia="zh-CN"/>
        </w:rPr>
        <w:t>D</w:t>
      </w:r>
      <w:r>
        <w:rPr>
          <w:rFonts w:hint="eastAsia" w:ascii="宋体" w:hAnsi="宋体" w:cs="宋体"/>
          <w:sz w:val="28"/>
          <w:szCs w:val="28"/>
        </w:rPr>
        <w:t>区烟气脱硫系统</w:t>
      </w:r>
      <w:r>
        <w:rPr>
          <w:rFonts w:hint="eastAsia" w:ascii="宋体" w:hAnsi="宋体" w:cs="宋体"/>
          <w:sz w:val="28"/>
          <w:szCs w:val="28"/>
          <w:lang w:val="en-US" w:eastAsia="zh-CN"/>
        </w:rPr>
        <w:t>项目</w:t>
      </w:r>
      <w:r>
        <w:rPr>
          <w:rFonts w:hint="eastAsia" w:ascii="宋体" w:hAnsi="宋体" w:cs="宋体"/>
          <w:sz w:val="28"/>
          <w:szCs w:val="28"/>
        </w:rPr>
        <w:t>投标保证金。投标人凭汇款单据至招标人财务部开具收据，逾期不汇入款项取消投标资格。</w:t>
      </w:r>
    </w:p>
    <w:p w14:paraId="7FE26526">
      <w:pPr>
        <w:snapToGrid w:val="0"/>
        <w:spacing w:line="360" w:lineRule="auto"/>
        <w:ind w:firstLine="280"/>
        <w:rPr>
          <w:rFonts w:hint="eastAsia" w:ascii="宋体" w:hAnsi="宋体" w:cs="宋体"/>
          <w:sz w:val="28"/>
          <w:szCs w:val="28"/>
        </w:rPr>
      </w:pPr>
      <w:r>
        <w:rPr>
          <w:rFonts w:hint="eastAsia" w:ascii="宋体" w:hAnsi="宋体" w:cs="宋体"/>
          <w:sz w:val="28"/>
          <w:szCs w:val="28"/>
        </w:rPr>
        <w:t>保证金的退还：招标人与中标人签订合同后</w:t>
      </w:r>
      <w:r>
        <w:rPr>
          <w:rFonts w:hint="eastAsia" w:ascii="宋体" w:hAnsi="宋体" w:cs="宋体"/>
          <w:sz w:val="28"/>
          <w:szCs w:val="28"/>
          <w:lang w:val="en-US" w:eastAsia="zh-CN"/>
        </w:rPr>
        <w:t>10</w:t>
      </w:r>
      <w:r>
        <w:rPr>
          <w:rFonts w:hint="eastAsia" w:ascii="宋体" w:hAnsi="宋体" w:cs="宋体"/>
          <w:sz w:val="28"/>
          <w:szCs w:val="28"/>
        </w:rPr>
        <w:t>日内，向未中标的投标人无息退还投标保证金。</w:t>
      </w:r>
    </w:p>
    <w:p w14:paraId="502674F6">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缴款方式/账户</w:t>
      </w:r>
    </w:p>
    <w:p w14:paraId="726828B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开户银行：兴业银行三明大田支行</w:t>
      </w:r>
    </w:p>
    <w:p w14:paraId="77CFE9B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帐户名称：福建科达新能源科技有限公司</w:t>
      </w:r>
    </w:p>
    <w:p w14:paraId="281EE2D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账号：181050100100112690</w:t>
      </w:r>
    </w:p>
    <w:p w14:paraId="011B2EF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2）履约担保:</w:t>
      </w:r>
    </w:p>
    <w:p w14:paraId="1CAD9DB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⑴履约担保金额：为中标合同价的10％；</w:t>
      </w:r>
    </w:p>
    <w:p w14:paraId="343BED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⑵履约保证金的形式：现金或银行保函、保险保函。</w:t>
      </w:r>
    </w:p>
    <w:p w14:paraId="2FE583F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注：</w:t>
      </w:r>
    </w:p>
    <w:p w14:paraId="12D3E6A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①采用银行保函方式缴纳投标保证金的投标人须通过投标人开户行基本账户开具的银行保函，银行保函必须加盖银行法定单位公章和法人代表签字，方可有效，其它方式不予认可。</w:t>
      </w:r>
    </w:p>
    <w:p w14:paraId="06D42D3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②提交时间：在签订合同前，中标人应提交履约担保。若未在规定时间内提交履约担保，招标人有权取消其中标资格，并没收其投标保证金。</w:t>
      </w:r>
    </w:p>
    <w:p w14:paraId="3ECB585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③银行保函有效期应当超过合同规定的完工验收合格之日，若银行保函时效没有达到上述规定，必须补足时效。</w:t>
      </w:r>
    </w:p>
    <w:p w14:paraId="1E0A395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④中标人采用现金的，履约保证金在合同履约</w:t>
      </w:r>
      <w:r>
        <w:rPr>
          <w:rFonts w:ascii="宋体" w:hAnsi="宋体" w:cs="宋体"/>
          <w:sz w:val="28"/>
          <w:szCs w:val="28"/>
        </w:rPr>
        <w:t>结束</w:t>
      </w:r>
      <w:r>
        <w:rPr>
          <w:rFonts w:hint="eastAsia" w:ascii="宋体" w:hAnsi="宋体" w:cs="宋体"/>
          <w:sz w:val="28"/>
          <w:szCs w:val="28"/>
        </w:rPr>
        <w:t>后</w:t>
      </w:r>
      <w:r>
        <w:rPr>
          <w:rFonts w:ascii="宋体" w:hAnsi="宋体" w:cs="宋体"/>
          <w:sz w:val="28"/>
          <w:szCs w:val="28"/>
        </w:rPr>
        <w:t>30</w:t>
      </w:r>
      <w:r>
        <w:rPr>
          <w:rFonts w:hint="eastAsia" w:ascii="宋体" w:hAnsi="宋体" w:cs="宋体"/>
          <w:sz w:val="28"/>
          <w:szCs w:val="28"/>
        </w:rPr>
        <w:t>日内一次性无息返还。</w:t>
      </w:r>
    </w:p>
    <w:p w14:paraId="7B7DE7A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3）发生下列情况之一者，投标保证金将予以没收：</w:t>
      </w:r>
    </w:p>
    <w:p w14:paraId="099355A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⑴投标人在投标截止日期后投标或有效期内撤回其投标。</w:t>
      </w:r>
    </w:p>
    <w:p w14:paraId="788BFDE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⑵投标人在投标截止日期后对投标文件作实质性修改。</w:t>
      </w:r>
    </w:p>
    <w:p w14:paraId="6E41459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⑶投标人被通知中标后，拒绝按中标状态签订合同（即不按中标规定的技术方案、供货范围和价格等签订合同）。</w:t>
      </w:r>
    </w:p>
    <w:p w14:paraId="3E1C40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⑷投标人不接受招标文件的规定。</w:t>
      </w:r>
    </w:p>
    <w:p w14:paraId="2C326E79">
      <w:pPr>
        <w:snapToGrid w:val="0"/>
        <w:spacing w:line="360" w:lineRule="auto"/>
        <w:rPr>
          <w:rFonts w:hint="eastAsia" w:ascii="宋体" w:hAnsi="宋体" w:cs="宋体"/>
          <w:b/>
          <w:sz w:val="28"/>
          <w:szCs w:val="28"/>
        </w:rPr>
      </w:pPr>
      <w:r>
        <w:rPr>
          <w:rFonts w:hint="eastAsia" w:ascii="宋体" w:hAnsi="宋体" w:cs="宋体"/>
          <w:b/>
          <w:sz w:val="28"/>
          <w:szCs w:val="28"/>
        </w:rPr>
        <w:t>11.投标人资格要求：</w:t>
      </w:r>
    </w:p>
    <w:p w14:paraId="541F8EE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1）资质要求：已通过</w:t>
      </w:r>
      <w:r>
        <w:rPr>
          <w:rFonts w:ascii="宋体" w:hAnsi="宋体" w:cs="宋体"/>
          <w:sz w:val="28"/>
          <w:szCs w:val="28"/>
        </w:rPr>
        <w:t>招标方的资格</w:t>
      </w:r>
      <w:r>
        <w:rPr>
          <w:rFonts w:hint="eastAsia" w:ascii="宋体" w:hAnsi="宋体" w:cs="宋体"/>
          <w:sz w:val="28"/>
          <w:szCs w:val="28"/>
        </w:rPr>
        <w:t>预审名单可</w:t>
      </w:r>
      <w:r>
        <w:rPr>
          <w:rFonts w:ascii="宋体" w:hAnsi="宋体" w:cs="宋体"/>
          <w:sz w:val="28"/>
          <w:szCs w:val="28"/>
        </w:rPr>
        <w:t>参与投标。</w:t>
      </w:r>
      <w:r>
        <w:rPr>
          <w:rFonts w:hint="eastAsia" w:ascii="宋体" w:hAnsi="宋体" w:cs="宋体"/>
          <w:sz w:val="28"/>
          <w:szCs w:val="28"/>
        </w:rPr>
        <w:t> </w:t>
      </w:r>
    </w:p>
    <w:p w14:paraId="4E325CB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2）企业经营财务状况良好。 </w:t>
      </w:r>
    </w:p>
    <w:p w14:paraId="3463997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3）投标人应在响应本招标文件的前提下，自愿参加投标。 </w:t>
      </w:r>
    </w:p>
    <w:p w14:paraId="2CF7F1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4）一个投标人只能提交一个投标文件。但如果投标人之间存在下列互为关联关系的情形之一的，不得同时参加本项目投标； </w:t>
      </w:r>
    </w:p>
    <w:p w14:paraId="1391AF2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（1）法定代表人或负责人为同一人的两个及两个以上企业； </w:t>
      </w:r>
    </w:p>
    <w:p w14:paraId="7004C6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（2）母公司、直接或间接持股50％及以上的被投资企业； </w:t>
      </w:r>
    </w:p>
    <w:p w14:paraId="297B81C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（3）均为同一主体直接或间接持股50％及以上的被投资企业。 </w:t>
      </w:r>
    </w:p>
    <w:p w14:paraId="16766D8A">
      <w:pPr>
        <w:snapToGrid w:val="0"/>
        <w:spacing w:line="360" w:lineRule="auto"/>
        <w:rPr>
          <w:rFonts w:hint="eastAsia" w:ascii="宋体" w:hAnsi="宋体" w:cs="宋体"/>
          <w:sz w:val="28"/>
          <w:szCs w:val="28"/>
        </w:rPr>
      </w:pPr>
      <w:r>
        <w:rPr>
          <w:rFonts w:hint="eastAsia" w:ascii="宋体" w:hAnsi="宋体" w:cs="宋体"/>
          <w:sz w:val="28"/>
          <w:szCs w:val="28"/>
        </w:rPr>
        <w:t>如上述关联企业同时参与投标，视为恶意串标，将取消投标资格，没收其投标保证金，并保留追究法律责任。 </w:t>
      </w:r>
    </w:p>
    <w:p w14:paraId="69C34B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5）禁止投标人相互串通投标。 </w:t>
      </w:r>
    </w:p>
    <w:p w14:paraId="4FA1D18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有下列情形之一的，属于投标人相互串通投标： </w:t>
      </w:r>
    </w:p>
    <w:p w14:paraId="0A3EF2C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⑴投标人之间协商投标报价等投标文件的实质性内容； </w:t>
      </w:r>
    </w:p>
    <w:p w14:paraId="2A795B1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⑵投标人之间约定中标人； </w:t>
      </w:r>
    </w:p>
    <w:p w14:paraId="652C1D6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⑶投标人之间约定部分投标人放弃投标或者中标； </w:t>
      </w:r>
    </w:p>
    <w:p w14:paraId="22A9472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⑷属于同一集团、协会、商会等组织成员的投标人按照该组织要求协同投标； </w:t>
      </w:r>
    </w:p>
    <w:p w14:paraId="23A00A6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⑸投标人之间为谋取中标或者排斥特定投标人而采取的其他联合行动。 </w:t>
      </w:r>
    </w:p>
    <w:p w14:paraId="76ED09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6）有下列情形之一的，视为投标人相互串通投标： </w:t>
      </w:r>
    </w:p>
    <w:p w14:paraId="4FD3E0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⑴不同投标人的投标文件由同一单位或者个人编制； </w:t>
      </w:r>
    </w:p>
    <w:p w14:paraId="5E0DE85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⑵不同投标人委托同一单位或者个人办理投标事宜； </w:t>
      </w:r>
    </w:p>
    <w:p w14:paraId="2E78AD0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⑶不同投标人的投标文件载明的项目管理成员为同一人； </w:t>
      </w:r>
    </w:p>
    <w:p w14:paraId="72654E8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⑷不同投标人的投标文件异常一致或者投标报价呈规律性差异； </w:t>
      </w:r>
    </w:p>
    <w:p w14:paraId="02BFB8B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⑸不同投标人的投标文件相互混装； </w:t>
      </w:r>
    </w:p>
    <w:p w14:paraId="108C0D1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⑹不同投标人的投标保证金从同一单位或者个人的账户转出。 </w:t>
      </w:r>
    </w:p>
    <w:p w14:paraId="67A00D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有以上行为之一，视同废标处理，不得参与我司后续其它购置项目的招标</w:t>
      </w:r>
      <w:r>
        <w:rPr>
          <w:rFonts w:hint="eastAsia" w:ascii="宋体" w:hAnsi="宋体" w:cs="宋体"/>
          <w:sz w:val="28"/>
          <w:szCs w:val="28"/>
          <w:lang w:val="en-US" w:eastAsia="zh-CN"/>
        </w:rPr>
        <w:t>并没收投标保证金</w:t>
      </w:r>
      <w:r>
        <w:rPr>
          <w:rFonts w:hint="eastAsia" w:ascii="宋体" w:hAnsi="宋体" w:cs="宋体"/>
          <w:sz w:val="28"/>
          <w:szCs w:val="28"/>
        </w:rPr>
        <w:t>，</w:t>
      </w:r>
      <w:r>
        <w:rPr>
          <w:rFonts w:hint="eastAsia" w:ascii="宋体" w:hAnsi="宋体" w:cs="宋体"/>
          <w:sz w:val="28"/>
          <w:szCs w:val="28"/>
          <w:lang w:val="en-US" w:eastAsia="zh-CN"/>
        </w:rPr>
        <w:t>情节严重的，我司将</w:t>
      </w:r>
      <w:r>
        <w:rPr>
          <w:rFonts w:hint="eastAsia" w:ascii="宋体" w:hAnsi="宋体" w:cs="宋体"/>
          <w:sz w:val="28"/>
          <w:szCs w:val="28"/>
        </w:rPr>
        <w:t>保留追究法律责任。 </w:t>
      </w:r>
    </w:p>
    <w:p w14:paraId="70DB87A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7）禁止投标人有以下行为。 </w:t>
      </w:r>
    </w:p>
    <w:p w14:paraId="7A94842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⑴投标人不得有任何作弊、行贿行为。 </w:t>
      </w:r>
    </w:p>
    <w:p w14:paraId="29E6DFE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⑵投标人不得采取排挤和恐吓等不正当手段影响和破坏招标。 </w:t>
      </w:r>
    </w:p>
    <w:p w14:paraId="689493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⑶投标人不得以挂靠、转包的方式承接本项目 </w:t>
      </w:r>
    </w:p>
    <w:p w14:paraId="6F360E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有以上行为之一，将取消投标资格，若已经中标，则视同废标处理，后期不得参与我司其它项目的招标，视情节严重，违约金为500-5000元不等，并保留追究法律责任。 </w:t>
      </w:r>
    </w:p>
    <w:p w14:paraId="3D991897">
      <w:pPr>
        <w:snapToGrid w:val="0"/>
        <w:spacing w:line="360" w:lineRule="auto"/>
        <w:rPr>
          <w:rFonts w:hint="eastAsia" w:ascii="宋体" w:hAnsi="宋体" w:cs="宋体"/>
          <w:sz w:val="28"/>
          <w:szCs w:val="28"/>
        </w:rPr>
      </w:pPr>
      <w:r>
        <w:rPr>
          <w:rFonts w:hint="eastAsia" w:ascii="宋体" w:hAnsi="宋体" w:cs="宋体"/>
          <w:sz w:val="28"/>
          <w:szCs w:val="28"/>
        </w:rPr>
        <w:t>12.中标后七个工作日内签订合同。中标的投标人的投标保证金将自动转为履约保证金，在招标结束并签订合同</w:t>
      </w:r>
      <w:r>
        <w:rPr>
          <w:rFonts w:hint="eastAsia" w:ascii="宋体" w:hAnsi="宋体" w:cs="宋体"/>
          <w:sz w:val="28"/>
          <w:szCs w:val="28"/>
          <w:lang w:val="en-US" w:eastAsia="zh-CN"/>
        </w:rPr>
        <w:t>一年后</w:t>
      </w:r>
      <w:r>
        <w:rPr>
          <w:rFonts w:hint="eastAsia" w:ascii="宋体" w:hAnsi="宋体" w:cs="宋体"/>
          <w:sz w:val="28"/>
          <w:szCs w:val="28"/>
        </w:rPr>
        <w:t>返还。投标方存在任何舞弊及悔标行为，保证金不予返还。未中标的投标人的投标保证金在招标人与中标人签订合同后</w:t>
      </w:r>
      <w:r>
        <w:rPr>
          <w:rFonts w:hint="eastAsia" w:ascii="宋体" w:hAnsi="宋体" w:cs="宋体"/>
          <w:sz w:val="28"/>
          <w:szCs w:val="28"/>
          <w:lang w:val="en-US" w:eastAsia="zh-CN"/>
        </w:rPr>
        <w:t>10</w:t>
      </w:r>
      <w:r>
        <w:rPr>
          <w:rFonts w:hint="eastAsia" w:ascii="宋体" w:hAnsi="宋体" w:cs="宋体"/>
          <w:sz w:val="28"/>
          <w:szCs w:val="28"/>
        </w:rPr>
        <w:t>日内，向未中标的投标人和中标人无息退还投标保证金。</w:t>
      </w:r>
    </w:p>
    <w:p w14:paraId="2A0D31CF">
      <w:pPr>
        <w:snapToGrid w:val="0"/>
        <w:spacing w:line="360" w:lineRule="auto"/>
        <w:rPr>
          <w:rFonts w:hint="eastAsia" w:ascii="宋体" w:hAnsi="宋体" w:cs="宋体"/>
          <w:sz w:val="28"/>
          <w:szCs w:val="28"/>
        </w:rPr>
      </w:pPr>
      <w:r>
        <w:rPr>
          <w:rFonts w:hint="eastAsia" w:ascii="宋体" w:hAnsi="宋体" w:cs="宋体"/>
          <w:sz w:val="28"/>
          <w:szCs w:val="28"/>
        </w:rPr>
        <w:t>13.评标办法：综合评估法（资格</w:t>
      </w:r>
      <w:r>
        <w:rPr>
          <w:rFonts w:ascii="宋体" w:hAnsi="宋体" w:cs="宋体"/>
          <w:sz w:val="28"/>
          <w:szCs w:val="28"/>
        </w:rPr>
        <w:t>预审评分通过后</w:t>
      </w:r>
      <w:r>
        <w:rPr>
          <w:rFonts w:hint="eastAsia" w:ascii="宋体" w:hAnsi="宋体" w:cs="宋体"/>
          <w:sz w:val="28"/>
          <w:szCs w:val="28"/>
        </w:rPr>
        <w:t>，</w:t>
      </w:r>
      <w:r>
        <w:rPr>
          <w:rFonts w:ascii="宋体" w:hAnsi="宋体" w:cs="宋体"/>
          <w:sz w:val="28"/>
          <w:szCs w:val="28"/>
        </w:rPr>
        <w:t>技术</w:t>
      </w:r>
      <w:r>
        <w:rPr>
          <w:rFonts w:hint="eastAsia" w:ascii="宋体" w:hAnsi="宋体" w:cs="宋体"/>
          <w:sz w:val="28"/>
          <w:szCs w:val="28"/>
        </w:rPr>
        <w:t>标</w:t>
      </w:r>
      <w:r>
        <w:rPr>
          <w:rFonts w:ascii="宋体" w:hAnsi="宋体" w:cs="宋体"/>
          <w:sz w:val="28"/>
          <w:szCs w:val="28"/>
        </w:rPr>
        <w:t>占</w:t>
      </w:r>
      <w:r>
        <w:rPr>
          <w:rFonts w:hint="eastAsia" w:ascii="宋体" w:hAnsi="宋体" w:cs="宋体"/>
          <w:sz w:val="28"/>
          <w:szCs w:val="28"/>
          <w:lang w:val="en-US" w:eastAsia="zh-CN"/>
        </w:rPr>
        <w:t>30</w:t>
      </w:r>
      <w:r>
        <w:rPr>
          <w:rFonts w:ascii="宋体" w:hAnsi="宋体" w:cs="宋体"/>
          <w:sz w:val="28"/>
          <w:szCs w:val="28"/>
        </w:rPr>
        <w:t>%，价格标占</w:t>
      </w:r>
      <w:r>
        <w:rPr>
          <w:rFonts w:hint="eastAsia" w:ascii="宋体" w:hAnsi="宋体" w:cs="宋体"/>
          <w:sz w:val="28"/>
          <w:szCs w:val="28"/>
          <w:lang w:val="en-US" w:eastAsia="zh-CN"/>
        </w:rPr>
        <w:t>70</w:t>
      </w:r>
      <w:r>
        <w:rPr>
          <w:rFonts w:ascii="宋体" w:hAnsi="宋体" w:cs="宋体"/>
          <w:sz w:val="28"/>
          <w:szCs w:val="28"/>
        </w:rPr>
        <w:t>%）</w:t>
      </w:r>
      <w:r>
        <w:rPr>
          <w:rFonts w:hint="eastAsia" w:ascii="宋体" w:hAnsi="宋体" w:cs="宋体"/>
          <w:sz w:val="28"/>
          <w:szCs w:val="28"/>
        </w:rPr>
        <w:t>，有效</w:t>
      </w:r>
      <w:r>
        <w:rPr>
          <w:rFonts w:ascii="宋体" w:hAnsi="宋体" w:cs="宋体"/>
          <w:sz w:val="28"/>
          <w:szCs w:val="28"/>
        </w:rPr>
        <w:t>投标家数超过</w:t>
      </w:r>
      <w:r>
        <w:rPr>
          <w:rFonts w:hint="eastAsia" w:ascii="宋体" w:hAnsi="宋体" w:cs="宋体"/>
          <w:sz w:val="28"/>
          <w:szCs w:val="28"/>
        </w:rPr>
        <w:t>3家</w:t>
      </w:r>
      <w:r>
        <w:rPr>
          <w:rFonts w:ascii="宋体" w:hAnsi="宋体" w:cs="宋体"/>
          <w:sz w:val="28"/>
          <w:szCs w:val="28"/>
        </w:rPr>
        <w:t>的，</w:t>
      </w:r>
      <w:r>
        <w:rPr>
          <w:rFonts w:hint="eastAsia" w:ascii="宋体" w:hAnsi="宋体" w:cs="宋体"/>
          <w:sz w:val="28"/>
          <w:szCs w:val="28"/>
        </w:rPr>
        <w:t>综合</w:t>
      </w:r>
      <w:r>
        <w:rPr>
          <w:rFonts w:ascii="宋体" w:hAnsi="宋体" w:cs="宋体"/>
          <w:sz w:val="28"/>
          <w:szCs w:val="28"/>
        </w:rPr>
        <w:t>评分前三名有资格进行</w:t>
      </w:r>
      <w:r>
        <w:rPr>
          <w:rFonts w:hint="eastAsia" w:ascii="宋体" w:hAnsi="宋体" w:cs="宋体"/>
          <w:sz w:val="28"/>
          <w:szCs w:val="28"/>
        </w:rPr>
        <w:t>最终报价</w:t>
      </w:r>
      <w:r>
        <w:rPr>
          <w:rFonts w:ascii="宋体" w:hAnsi="宋体" w:cs="宋体"/>
          <w:sz w:val="28"/>
          <w:szCs w:val="28"/>
        </w:rPr>
        <w:t>；有效投标家数</w:t>
      </w:r>
      <w:r>
        <w:rPr>
          <w:rFonts w:hint="eastAsia" w:ascii="宋体" w:hAnsi="宋体" w:cs="宋体"/>
          <w:sz w:val="28"/>
          <w:szCs w:val="28"/>
        </w:rPr>
        <w:t>为3家</w:t>
      </w:r>
      <w:r>
        <w:rPr>
          <w:rFonts w:ascii="宋体" w:hAnsi="宋体" w:cs="宋体"/>
          <w:sz w:val="28"/>
          <w:szCs w:val="28"/>
        </w:rPr>
        <w:t>，综合评分前二名有</w:t>
      </w:r>
      <w:r>
        <w:rPr>
          <w:rFonts w:hint="eastAsia" w:ascii="宋体" w:hAnsi="宋体" w:cs="宋体"/>
          <w:sz w:val="28"/>
          <w:szCs w:val="28"/>
        </w:rPr>
        <w:t>资格</w:t>
      </w:r>
      <w:r>
        <w:rPr>
          <w:rFonts w:ascii="宋体" w:hAnsi="宋体" w:cs="宋体"/>
          <w:sz w:val="28"/>
          <w:szCs w:val="28"/>
        </w:rPr>
        <w:t>进行最终报价</w:t>
      </w:r>
      <w:r>
        <w:rPr>
          <w:rFonts w:hint="eastAsia" w:ascii="宋体" w:hAnsi="宋体" w:cs="宋体"/>
          <w:sz w:val="28"/>
          <w:szCs w:val="28"/>
        </w:rPr>
        <w:t>。 </w:t>
      </w:r>
    </w:p>
    <w:p w14:paraId="6CF213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1）如果出现下列情形之一时，招标人有权将招标转为竞争性谈判或采用其他采购方式。</w:t>
      </w:r>
    </w:p>
    <w:p w14:paraId="5A8E6CD3">
      <w:pPr>
        <w:snapToGrid w:val="0"/>
        <w:spacing w:line="360" w:lineRule="auto"/>
        <w:rPr>
          <w:rFonts w:hint="eastAsia" w:ascii="宋体" w:hAnsi="宋体" w:cs="宋体"/>
          <w:sz w:val="28"/>
          <w:szCs w:val="28"/>
        </w:rPr>
      </w:pPr>
      <w:r>
        <w:rPr>
          <w:rFonts w:hint="eastAsia" w:ascii="宋体" w:hAnsi="宋体" w:cs="宋体"/>
          <w:sz w:val="28"/>
          <w:szCs w:val="28"/>
        </w:rPr>
        <w:t>（1）投标人不足三人或有效投标不足三份；</w:t>
      </w:r>
    </w:p>
    <w:p w14:paraId="2960D35E">
      <w:pPr>
        <w:snapToGrid w:val="0"/>
        <w:spacing w:line="360" w:lineRule="auto"/>
        <w:rPr>
          <w:rFonts w:hint="eastAsia" w:ascii="宋体" w:hAnsi="宋体" w:cs="宋体"/>
          <w:sz w:val="28"/>
          <w:szCs w:val="28"/>
        </w:rPr>
      </w:pPr>
      <w:r>
        <w:rPr>
          <w:rFonts w:hint="eastAsia" w:ascii="宋体" w:hAnsi="宋体" w:cs="宋体"/>
          <w:sz w:val="28"/>
          <w:szCs w:val="28"/>
        </w:rPr>
        <w:t>（2）全部投标报价均高于招标人期望值；</w:t>
      </w:r>
    </w:p>
    <w:p w14:paraId="463A5C7E">
      <w:pPr>
        <w:snapToGrid w:val="0"/>
        <w:spacing w:line="360" w:lineRule="auto"/>
        <w:rPr>
          <w:rFonts w:hint="eastAsia" w:ascii="宋体" w:hAnsi="宋体" w:cs="宋体"/>
          <w:sz w:val="28"/>
          <w:szCs w:val="28"/>
        </w:rPr>
      </w:pPr>
      <w:r>
        <w:rPr>
          <w:rFonts w:hint="eastAsia" w:ascii="宋体" w:hAnsi="宋体" w:cs="宋体"/>
          <w:sz w:val="28"/>
          <w:szCs w:val="28"/>
        </w:rPr>
        <w:t>（3）投标人超过3个，评标过程中，评委认为所有投标文件不具备竞争性；</w:t>
      </w:r>
    </w:p>
    <w:p w14:paraId="79F6E612">
      <w:pPr>
        <w:snapToGrid w:val="0"/>
        <w:spacing w:line="360" w:lineRule="auto"/>
        <w:rPr>
          <w:rFonts w:hint="eastAsia" w:ascii="宋体" w:hAnsi="宋体" w:cs="宋体"/>
          <w:sz w:val="28"/>
          <w:szCs w:val="28"/>
        </w:rPr>
      </w:pPr>
      <w:r>
        <w:rPr>
          <w:rFonts w:hint="eastAsia" w:ascii="宋体" w:hAnsi="宋体" w:cs="宋体"/>
          <w:sz w:val="28"/>
          <w:szCs w:val="28"/>
        </w:rPr>
        <w:t>（4）第一投标候选人放弃中标。</w:t>
      </w:r>
    </w:p>
    <w:p w14:paraId="36958C4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2）我方声明：最低投标报价不是中标的保证，评标活动遵循公平、公正、科学和择优的原则。</w:t>
      </w:r>
    </w:p>
    <w:p w14:paraId="551AD4FE">
      <w:pPr>
        <w:snapToGrid w:val="0"/>
        <w:spacing w:line="360" w:lineRule="auto"/>
        <w:rPr>
          <w:rFonts w:hint="eastAsia" w:ascii="宋体" w:hAnsi="宋体" w:cs="宋体"/>
          <w:sz w:val="28"/>
          <w:szCs w:val="28"/>
        </w:rPr>
      </w:pPr>
      <w:r>
        <w:rPr>
          <w:rFonts w:hint="eastAsia" w:ascii="宋体" w:hAnsi="宋体" w:cs="宋体"/>
          <w:sz w:val="28"/>
          <w:szCs w:val="28"/>
        </w:rPr>
        <w:t>14.项目联系信息：</w:t>
      </w:r>
    </w:p>
    <w:p w14:paraId="023C46D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沈贵升</w:t>
      </w:r>
      <w:r>
        <w:rPr>
          <w:rFonts w:hint="eastAsia" w:ascii="宋体" w:hAnsi="宋体" w:cs="宋体"/>
          <w:sz w:val="28"/>
          <w:szCs w:val="28"/>
        </w:rPr>
        <w:t> </w:t>
      </w:r>
    </w:p>
    <w:p w14:paraId="0DB3547C">
      <w:pPr>
        <w:snapToGrid w:val="0"/>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联系电话：1</w:t>
      </w:r>
      <w:r>
        <w:rPr>
          <w:rFonts w:hint="eastAsia" w:ascii="宋体" w:hAnsi="宋体" w:cs="宋体"/>
          <w:sz w:val="28"/>
          <w:szCs w:val="28"/>
          <w:lang w:val="en-US" w:eastAsia="zh-CN"/>
        </w:rPr>
        <w:t>8851651994</w:t>
      </w:r>
    </w:p>
    <w:p w14:paraId="164FEB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办公地点：科达新能源办公楼二楼</w:t>
      </w:r>
    </w:p>
    <w:p w14:paraId="26F204D3">
      <w:pPr>
        <w:snapToGrid w:val="0"/>
        <w:spacing w:line="360" w:lineRule="auto"/>
        <w:rPr>
          <w:rFonts w:hint="eastAsia" w:ascii="宋体" w:hAnsi="宋体" w:cs="宋体"/>
          <w:sz w:val="28"/>
          <w:szCs w:val="28"/>
        </w:rPr>
      </w:pPr>
      <w:r>
        <w:rPr>
          <w:rFonts w:hint="eastAsia" w:ascii="宋体" w:hAnsi="宋体" w:cs="宋体"/>
          <w:sz w:val="28"/>
          <w:szCs w:val="28"/>
        </w:rPr>
        <w:t>15.开标时间：202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07</w:t>
      </w:r>
      <w:r>
        <w:rPr>
          <w:rFonts w:hint="eastAsia" w:ascii="宋体" w:hAnsi="宋体" w:cs="宋体"/>
          <w:sz w:val="28"/>
          <w:szCs w:val="28"/>
        </w:rPr>
        <w:t>月</w:t>
      </w:r>
      <w:r>
        <w:rPr>
          <w:rFonts w:hint="eastAsia" w:ascii="宋体" w:hAnsi="宋体" w:cs="宋体"/>
          <w:sz w:val="28"/>
          <w:szCs w:val="28"/>
          <w:lang w:val="en-US" w:eastAsia="zh-CN"/>
        </w:rPr>
        <w:t>08</w:t>
      </w:r>
      <w:r>
        <w:rPr>
          <w:rFonts w:hint="eastAsia" w:ascii="宋体" w:hAnsi="宋体" w:cs="宋体"/>
          <w:sz w:val="28"/>
          <w:szCs w:val="28"/>
        </w:rPr>
        <w:t>日。</w:t>
      </w:r>
    </w:p>
    <w:p w14:paraId="0931B19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声明：投标方对招标方的技术参数等商业机密负有保密义务，未经招标方允许不得向第三方泄露。</w:t>
      </w:r>
    </w:p>
    <w:p w14:paraId="7F035D1A">
      <w:pPr>
        <w:widowControl/>
        <w:spacing w:line="360" w:lineRule="auto"/>
        <w:rPr>
          <w:rFonts w:hint="eastAsia" w:ascii="宋体" w:hAnsi="宋体" w:cs="宋体"/>
          <w:sz w:val="28"/>
          <w:szCs w:val="28"/>
        </w:rPr>
      </w:pPr>
      <w:r>
        <w:rPr>
          <w:rFonts w:hint="eastAsia" w:ascii="宋体" w:hAnsi="宋体" w:cs="宋体"/>
          <w:color w:val="666666"/>
          <w:kern w:val="0"/>
          <w:sz w:val="28"/>
          <w:szCs w:val="28"/>
          <w:lang w:bidi="ar"/>
        </w:rPr>
        <w:t xml:space="preserve">      </w:t>
      </w:r>
      <w:r>
        <w:rPr>
          <w:rFonts w:hint="eastAsia" w:ascii="宋体" w:hAnsi="宋体" w:cs="宋体"/>
          <w:sz w:val="28"/>
          <w:szCs w:val="28"/>
        </w:rPr>
        <w:t>本次招标的最终解释权归招标方。</w:t>
      </w:r>
    </w:p>
    <w:p w14:paraId="73B59AFE">
      <w:pPr>
        <w:pStyle w:val="3"/>
        <w:rPr>
          <w:rFonts w:ascii="宋体" w:hAnsi="宋体" w:cs="宋体"/>
          <w:color w:val="333333"/>
          <w:sz w:val="24"/>
          <w:szCs w:val="24"/>
        </w:rPr>
      </w:pPr>
    </w:p>
    <w:p w14:paraId="42DCDB5F">
      <w:pPr>
        <w:pStyle w:val="3"/>
        <w:rPr>
          <w:rFonts w:ascii="宋体" w:hAnsi="宋体" w:cs="宋体"/>
          <w:color w:val="333333"/>
          <w:sz w:val="24"/>
          <w:szCs w:val="24"/>
        </w:rPr>
      </w:pPr>
    </w:p>
    <w:p w14:paraId="32BCF4CA">
      <w:pPr>
        <w:pStyle w:val="3"/>
        <w:rPr>
          <w:rFonts w:ascii="宋体" w:hAnsi="宋体" w:cs="宋体"/>
          <w:color w:val="333333"/>
          <w:sz w:val="24"/>
          <w:szCs w:val="24"/>
        </w:rPr>
      </w:pPr>
    </w:p>
    <w:p w14:paraId="69BFDFBF">
      <w:pPr>
        <w:pStyle w:val="3"/>
        <w:rPr>
          <w:rFonts w:ascii="宋体" w:hAnsi="宋体" w:cs="宋体"/>
          <w:color w:val="333333"/>
          <w:sz w:val="24"/>
          <w:szCs w:val="24"/>
        </w:rPr>
      </w:pPr>
    </w:p>
    <w:p w14:paraId="775C9099">
      <w:pPr>
        <w:pStyle w:val="3"/>
        <w:rPr>
          <w:rFonts w:ascii="宋体" w:hAnsi="宋体" w:cs="宋体"/>
          <w:color w:val="333333"/>
          <w:sz w:val="24"/>
          <w:szCs w:val="24"/>
        </w:rPr>
      </w:pPr>
    </w:p>
    <w:p w14:paraId="257C25E2">
      <w:pPr>
        <w:pStyle w:val="3"/>
        <w:rPr>
          <w:rFonts w:ascii="宋体" w:hAnsi="宋体" w:cs="宋体"/>
          <w:color w:val="333333"/>
          <w:sz w:val="24"/>
          <w:szCs w:val="24"/>
        </w:rPr>
      </w:pPr>
    </w:p>
    <w:p w14:paraId="6526B880">
      <w:pPr>
        <w:pStyle w:val="3"/>
        <w:rPr>
          <w:rFonts w:ascii="宋体" w:hAnsi="宋体" w:cs="宋体"/>
          <w:color w:val="333333"/>
          <w:sz w:val="24"/>
          <w:szCs w:val="24"/>
        </w:rPr>
      </w:pPr>
    </w:p>
    <w:p w14:paraId="5B6F2B0E">
      <w:pPr>
        <w:pStyle w:val="3"/>
        <w:rPr>
          <w:rFonts w:ascii="宋体" w:hAnsi="宋体" w:cs="宋体"/>
          <w:color w:val="333333"/>
          <w:sz w:val="24"/>
          <w:szCs w:val="24"/>
        </w:rPr>
      </w:pPr>
    </w:p>
    <w:p w14:paraId="65B9F812">
      <w:pPr>
        <w:pStyle w:val="3"/>
        <w:rPr>
          <w:rFonts w:ascii="宋体" w:hAnsi="宋体" w:cs="宋体"/>
          <w:color w:val="333333"/>
          <w:sz w:val="24"/>
          <w:szCs w:val="24"/>
        </w:rPr>
        <w:sectPr>
          <w:pgSz w:w="11906" w:h="16838"/>
          <w:pgMar w:top="1440" w:right="1800" w:bottom="1440" w:left="1800" w:header="851" w:footer="992" w:gutter="0"/>
          <w:cols w:space="720" w:num="1"/>
          <w:docGrid w:type="lines" w:linePitch="312" w:charSpace="0"/>
        </w:sectPr>
      </w:pPr>
    </w:p>
    <w:p w14:paraId="122E1226">
      <w:pPr>
        <w:pStyle w:val="2"/>
        <w:snapToGrid w:val="0"/>
        <w:spacing w:line="240" w:lineRule="auto"/>
        <w:rPr>
          <w:rFonts w:hint="eastAsia" w:ascii="MiSans Light" w:hAnsi="MiSans Light" w:eastAsia="MiSans Light"/>
        </w:rPr>
      </w:pPr>
      <w:bookmarkStart w:id="4" w:name="_Toc247514006"/>
      <w:bookmarkStart w:id="5" w:name="_Toc152045582"/>
      <w:bookmarkStart w:id="6" w:name="_Toc247527607"/>
      <w:bookmarkStart w:id="7" w:name="_Toc144974549"/>
      <w:bookmarkStart w:id="8" w:name="_Toc152042359"/>
      <w:bookmarkStart w:id="9" w:name="_Toc88834958"/>
      <w:bookmarkStart w:id="10" w:name="_Toc15222"/>
      <w:r>
        <w:rPr>
          <w:rFonts w:ascii="MiSans Light" w:hAnsi="MiSans Light" w:eastAsia="MiSans Light"/>
        </w:rPr>
        <w:t>附</w:t>
      </w:r>
      <w:r>
        <w:rPr>
          <w:rFonts w:hint="eastAsia" w:ascii="MiSans Light" w:hAnsi="MiSans Light" w:eastAsia="MiSans Light"/>
        </w:rPr>
        <w:t>件1</w:t>
      </w:r>
      <w:r>
        <w:rPr>
          <w:rFonts w:ascii="MiSans Light" w:hAnsi="MiSans Light" w:eastAsia="MiSans Light"/>
        </w:rPr>
        <w:t>：</w:t>
      </w:r>
      <w:r>
        <w:rPr>
          <w:rFonts w:hint="eastAsia" w:ascii="MiSans Light" w:hAnsi="MiSans Light" w:eastAsia="MiSans Light"/>
        </w:rPr>
        <w:t>投标报价及工期</w:t>
      </w:r>
    </w:p>
    <w:p w14:paraId="7DF15B9B">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37865F2E">
      <w:pPr>
        <w:snapToGrid w:val="0"/>
        <w:rPr>
          <w:rFonts w:hint="eastAsia" w:ascii="MiSans Light" w:hAnsi="MiSans Light" w:eastAsia="MiSans Light"/>
          <w:szCs w:val="21"/>
        </w:rPr>
      </w:pPr>
    </w:p>
    <w:p w14:paraId="7B64DE0B">
      <w:pPr>
        <w:snapToGrid w:val="0"/>
        <w:spacing w:line="360" w:lineRule="auto"/>
        <w:ind w:firstLine="420" w:firstLineChars="200"/>
        <w:rPr>
          <w:rFonts w:hint="eastAsia" w:ascii="MiSans Light" w:hAnsi="MiSans Light" w:eastAsia="MiSans Light"/>
          <w:szCs w:val="21"/>
        </w:rPr>
      </w:pPr>
      <w:r>
        <w:rPr>
          <w:rFonts w:hint="eastAsia" w:ascii="MiSans Light" w:hAnsi="MiSans Light" w:eastAsia="MiSans Light"/>
          <w:szCs w:val="21"/>
        </w:rPr>
        <w:t>我单位认真研究了编号为：FJKDC-2026061701的关于福建科达新能源科技有限公司</w:t>
      </w:r>
      <w:r>
        <w:rPr>
          <w:rFonts w:hint="eastAsia" w:ascii="MiSans Light" w:hAnsi="MiSans Light" w:eastAsia="MiSans Light"/>
          <w:szCs w:val="21"/>
          <w:lang w:val="en-US" w:eastAsia="zh-CN"/>
        </w:rPr>
        <w:t>D</w:t>
      </w:r>
      <w:r>
        <w:rPr>
          <w:rFonts w:hint="eastAsia" w:ascii="MiSans Light" w:hAnsi="MiSans Light" w:eastAsia="MiSans Light"/>
          <w:szCs w:val="21"/>
        </w:rPr>
        <w:t>区烟气脱硫系统</w:t>
      </w:r>
      <w:r>
        <w:rPr>
          <w:rFonts w:hint="eastAsia" w:ascii="MiSans Light" w:hAnsi="MiSans Light" w:eastAsia="MiSans Light"/>
          <w:szCs w:val="21"/>
          <w:lang w:val="en-US" w:eastAsia="zh-CN"/>
        </w:rPr>
        <w:t>项目</w:t>
      </w:r>
      <w:r>
        <w:rPr>
          <w:rFonts w:hint="eastAsia" w:ascii="MiSans Light" w:hAnsi="MiSans Light" w:eastAsia="MiSans Light"/>
          <w:szCs w:val="21"/>
        </w:rPr>
        <w:t>的招标文件，愿意遵守招标文件中的所有要求：</w:t>
      </w:r>
    </w:p>
    <w:p w14:paraId="31F7A8C5">
      <w:pPr>
        <w:numPr>
          <w:ilvl w:val="0"/>
          <w:numId w:val="1"/>
        </w:numPr>
        <w:snapToGrid w:val="0"/>
        <w:spacing w:line="360" w:lineRule="auto"/>
        <w:rPr>
          <w:rFonts w:hint="eastAsia" w:ascii="MiSans Light" w:hAnsi="MiSans Light" w:eastAsia="MiSans Light"/>
          <w:b/>
          <w:bCs/>
          <w:szCs w:val="21"/>
        </w:rPr>
      </w:pPr>
      <w:r>
        <w:rPr>
          <w:rFonts w:hint="eastAsia" w:ascii="MiSans Light" w:hAnsi="MiSans Light" w:eastAsia="MiSans Light"/>
          <w:szCs w:val="21"/>
        </w:rPr>
        <w:t>我单位愿意以人民币</w:t>
      </w:r>
      <w:r>
        <w:rPr>
          <w:rFonts w:hint="eastAsia" w:ascii="MiSans Light" w:hAnsi="MiSans Light" w:eastAsia="MiSans Light"/>
          <w:szCs w:val="21"/>
          <w:u w:val="single"/>
        </w:rPr>
        <w:t>（大写）          （小写：￥       ）</w:t>
      </w:r>
      <w:r>
        <w:rPr>
          <w:rFonts w:hint="eastAsia" w:ascii="MiSans Light" w:hAnsi="MiSans Light" w:eastAsia="MiSans Light"/>
          <w:szCs w:val="21"/>
        </w:rPr>
        <w:t>承接福建科达新能源科技有限公司D区烟气脱硫系统项目</w:t>
      </w:r>
      <w:r>
        <w:rPr>
          <w:rFonts w:hint="eastAsia" w:ascii="MiSans Light" w:hAnsi="MiSans Light" w:eastAsia="MiSans Light"/>
          <w:b/>
          <w:bCs/>
          <w:szCs w:val="21"/>
        </w:rPr>
        <w:t>。</w:t>
      </w:r>
    </w:p>
    <w:p w14:paraId="58947FA6">
      <w:pPr>
        <w:pStyle w:val="3"/>
      </w:pPr>
    </w:p>
    <w:p w14:paraId="316887FA">
      <w:pPr>
        <w:snapToGrid w:val="0"/>
        <w:jc w:val="right"/>
        <w:rPr>
          <w:rFonts w:ascii="MiSans Light" w:hAnsi="MiSans Light" w:eastAsia="MiSans Light"/>
          <w:szCs w:val="21"/>
        </w:rPr>
      </w:pP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2F4C9B22">
      <w:pPr>
        <w:snapToGrid w:val="0"/>
        <w:rPr>
          <w:rFonts w:ascii="MiSans Light" w:hAnsi="MiSans Light" w:eastAsia="MiSans Light"/>
          <w:szCs w:val="21"/>
        </w:rPr>
      </w:pPr>
    </w:p>
    <w:p w14:paraId="46999321">
      <w:pPr>
        <w:snapToGrid w:val="0"/>
        <w:jc w:val="right"/>
        <w:rPr>
          <w:rFonts w:ascii="MiSans Light" w:hAnsi="MiSans Light" w:eastAsia="MiSans Light"/>
          <w:szCs w:val="21"/>
        </w:rPr>
      </w:pP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年</w:t>
      </w: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月</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日</w:t>
      </w:r>
    </w:p>
    <w:p w14:paraId="7CCC447A">
      <w:pPr>
        <w:pStyle w:val="3"/>
      </w:pPr>
    </w:p>
    <w:p w14:paraId="554ACCFC">
      <w:pPr>
        <w:pStyle w:val="3"/>
      </w:pPr>
    </w:p>
    <w:p w14:paraId="78FE413F">
      <w:pPr>
        <w:pStyle w:val="3"/>
      </w:pPr>
    </w:p>
    <w:p w14:paraId="453C09E1">
      <w:pPr>
        <w:pStyle w:val="3"/>
        <w:rPr>
          <w:rFonts w:hint="eastAsia"/>
        </w:rPr>
      </w:pPr>
    </w:p>
    <w:p w14:paraId="38C56AAD">
      <w:pPr>
        <w:pStyle w:val="2"/>
        <w:snapToGrid w:val="0"/>
        <w:spacing w:line="240" w:lineRule="auto"/>
        <w:rPr>
          <w:rFonts w:ascii="MiSans Light" w:hAnsi="MiSans Light" w:eastAsia="MiSans Light"/>
        </w:rPr>
      </w:pPr>
    </w:p>
    <w:p w14:paraId="1E19B21D">
      <w:pPr>
        <w:pStyle w:val="2"/>
        <w:snapToGrid w:val="0"/>
        <w:spacing w:line="240" w:lineRule="auto"/>
        <w:rPr>
          <w:rFonts w:ascii="MiSans Light" w:hAnsi="MiSans Light" w:eastAsia="MiSans Light"/>
        </w:rPr>
      </w:pPr>
    </w:p>
    <w:p w14:paraId="1AD08AF8">
      <w:pPr>
        <w:pStyle w:val="2"/>
        <w:snapToGrid w:val="0"/>
        <w:spacing w:line="240" w:lineRule="auto"/>
        <w:rPr>
          <w:rFonts w:ascii="MiSans Light" w:hAnsi="MiSans Light" w:eastAsia="MiSans Light"/>
        </w:rPr>
      </w:pPr>
    </w:p>
    <w:p w14:paraId="62ECF581">
      <w:pPr>
        <w:pStyle w:val="2"/>
        <w:snapToGrid w:val="0"/>
        <w:spacing w:line="240" w:lineRule="auto"/>
        <w:rPr>
          <w:rFonts w:ascii="MiSans Light" w:hAnsi="MiSans Light" w:eastAsia="MiSans Light"/>
        </w:rPr>
      </w:pPr>
    </w:p>
    <w:p w14:paraId="6C359145">
      <w:pPr>
        <w:pStyle w:val="2"/>
        <w:snapToGrid w:val="0"/>
        <w:spacing w:line="240" w:lineRule="auto"/>
        <w:rPr>
          <w:rFonts w:ascii="MiSans Light" w:hAnsi="MiSans Light" w:eastAsia="MiSans Light"/>
        </w:rPr>
      </w:pPr>
    </w:p>
    <w:p w14:paraId="785DB518">
      <w:pPr>
        <w:pStyle w:val="2"/>
        <w:snapToGrid w:val="0"/>
        <w:spacing w:line="240" w:lineRule="auto"/>
        <w:rPr>
          <w:rFonts w:ascii="MiSans Light" w:hAnsi="MiSans Light" w:eastAsia="MiSans Light"/>
        </w:rPr>
      </w:pPr>
    </w:p>
    <w:p w14:paraId="6DD87538">
      <w:pPr>
        <w:pStyle w:val="2"/>
        <w:snapToGrid w:val="0"/>
        <w:spacing w:line="240" w:lineRule="auto"/>
        <w:rPr>
          <w:rFonts w:ascii="MiSans Light" w:hAnsi="MiSans Light" w:eastAsia="MiSans Light"/>
        </w:rPr>
      </w:pPr>
    </w:p>
    <w:p w14:paraId="3B73C4B1">
      <w:pPr>
        <w:pStyle w:val="2"/>
        <w:snapToGrid w:val="0"/>
        <w:spacing w:line="240" w:lineRule="auto"/>
        <w:rPr>
          <w:rFonts w:ascii="MiSans Light" w:hAnsi="MiSans Light" w:eastAsia="MiSans Light"/>
        </w:rPr>
      </w:pPr>
    </w:p>
    <w:p w14:paraId="316FB985">
      <w:pPr>
        <w:pStyle w:val="2"/>
        <w:snapToGrid w:val="0"/>
        <w:spacing w:line="240" w:lineRule="auto"/>
        <w:rPr>
          <w:rFonts w:ascii="MiSans Light" w:hAnsi="MiSans Light" w:eastAsia="MiSans Light"/>
        </w:rPr>
      </w:pPr>
    </w:p>
    <w:p w14:paraId="0140FF2E">
      <w:pPr>
        <w:pStyle w:val="2"/>
        <w:snapToGrid w:val="0"/>
        <w:spacing w:line="240" w:lineRule="auto"/>
        <w:rPr>
          <w:rFonts w:ascii="MiSans Light" w:hAnsi="MiSans Light" w:eastAsia="MiSans Light"/>
        </w:rPr>
      </w:pPr>
    </w:p>
    <w:p w14:paraId="0DA977C9">
      <w:pPr>
        <w:pStyle w:val="2"/>
        <w:snapToGrid w:val="0"/>
        <w:spacing w:line="240" w:lineRule="auto"/>
        <w:rPr>
          <w:rFonts w:ascii="MiSans Light" w:hAnsi="MiSans Light" w:eastAsia="MiSans Light"/>
        </w:rPr>
      </w:pPr>
    </w:p>
    <w:bookmarkEnd w:id="4"/>
    <w:bookmarkEnd w:id="5"/>
    <w:bookmarkEnd w:id="6"/>
    <w:bookmarkEnd w:id="7"/>
    <w:bookmarkEnd w:id="8"/>
    <w:bookmarkEnd w:id="9"/>
    <w:bookmarkEnd w:id="10"/>
    <w:p w14:paraId="2BE01A67">
      <w:pPr>
        <w:pStyle w:val="2"/>
        <w:snapToGrid w:val="0"/>
        <w:spacing w:before="0" w:after="0" w:line="240" w:lineRule="auto"/>
        <w:rPr>
          <w:rFonts w:ascii="MiSans Light" w:hAnsi="MiSans Light" w:eastAsia="MiSans Light"/>
        </w:rPr>
      </w:pPr>
    </w:p>
    <w:p w14:paraId="74A5D547">
      <w:pPr>
        <w:snapToGrid w:val="0"/>
        <w:jc w:val="center"/>
        <w:rPr>
          <w:rFonts w:ascii="MiSans Light" w:hAnsi="MiSans Light" w:eastAsia="MiSans Light"/>
          <w:szCs w:val="21"/>
        </w:rPr>
      </w:pPr>
    </w:p>
    <w:p w14:paraId="2DB732E3">
      <w:pPr>
        <w:snapToGrid w:val="0"/>
        <w:jc w:val="center"/>
        <w:rPr>
          <w:rFonts w:ascii="MiSans Light" w:hAnsi="MiSans Light" w:eastAsia="MiSans Light"/>
          <w:sz w:val="28"/>
          <w:szCs w:val="28"/>
        </w:rPr>
      </w:pPr>
    </w:p>
    <w:p w14:paraId="053969FC">
      <w:pPr>
        <w:pStyle w:val="2"/>
        <w:snapToGrid w:val="0"/>
        <w:spacing w:before="0" w:after="0" w:line="240" w:lineRule="auto"/>
        <w:rPr>
          <w:rFonts w:ascii="MiSans Light" w:hAnsi="MiSans Light" w:eastAsia="MiSans Light"/>
        </w:rPr>
      </w:pPr>
      <w:r>
        <w:rPr>
          <w:rFonts w:ascii="MiSans Light" w:hAnsi="MiSans Light" w:eastAsia="MiSans Light"/>
        </w:rPr>
        <w:t>附</w:t>
      </w:r>
      <w:r>
        <w:rPr>
          <w:rFonts w:hint="eastAsia" w:ascii="MiSans Light" w:hAnsi="MiSans Light" w:eastAsia="MiSans Light"/>
        </w:rPr>
        <w:t>件2</w:t>
      </w:r>
      <w:r>
        <w:rPr>
          <w:rFonts w:ascii="MiSans Light" w:hAnsi="MiSans Light" w:eastAsia="MiSans Light"/>
        </w:rPr>
        <w:t>：问题澄清通知</w:t>
      </w:r>
    </w:p>
    <w:p w14:paraId="45A22B0E">
      <w:pPr>
        <w:snapToGrid w:val="0"/>
        <w:jc w:val="center"/>
        <w:rPr>
          <w:rFonts w:ascii="MiSans Light" w:hAnsi="MiSans Light" w:eastAsia="MiSans Light"/>
          <w:sz w:val="28"/>
          <w:szCs w:val="28"/>
        </w:rPr>
      </w:pPr>
    </w:p>
    <w:p w14:paraId="72944E50">
      <w:pPr>
        <w:snapToGrid w:val="0"/>
        <w:jc w:val="left"/>
        <w:rPr>
          <w:rFonts w:ascii="MiSans Light" w:hAnsi="MiSans Light" w:eastAsia="MiSans Light"/>
          <w:szCs w:val="21"/>
        </w:rPr>
      </w:pPr>
      <w:r>
        <w:rPr>
          <w:rFonts w:ascii="MiSans Light" w:hAnsi="MiSans Light" w:eastAsia="MiSans Light"/>
          <w:szCs w:val="21"/>
        </w:rPr>
        <w:t xml:space="preserve">   </w:t>
      </w:r>
      <w:r>
        <w:rPr>
          <w:rFonts w:hint="eastAsia" w:ascii="MiSans Light" w:hAnsi="MiSans Light" w:eastAsia="MiSans Light"/>
          <w:szCs w:val="21"/>
        </w:rPr>
        <w:t>福建科达新能源科技有限公司</w:t>
      </w:r>
      <w:r>
        <w:rPr>
          <w:rFonts w:ascii="MiSans Light" w:hAnsi="MiSans Light" w:eastAsia="MiSans Light"/>
          <w:szCs w:val="21"/>
        </w:rPr>
        <w:t>：</w:t>
      </w:r>
    </w:p>
    <w:p w14:paraId="07C5F5BC">
      <w:pPr>
        <w:snapToGrid w:val="0"/>
        <w:rPr>
          <w:rFonts w:ascii="MiSans Light" w:hAnsi="MiSans Light" w:eastAsia="MiSans Light"/>
          <w:szCs w:val="21"/>
        </w:rPr>
      </w:pPr>
    </w:p>
    <w:p w14:paraId="0424E51E">
      <w:pPr>
        <w:snapToGrid w:val="0"/>
        <w:rPr>
          <w:rFonts w:ascii="MiSans Light" w:hAnsi="MiSans Light" w:eastAsia="MiSans Light"/>
          <w:szCs w:val="21"/>
        </w:rPr>
      </w:pPr>
      <w:r>
        <w:rPr>
          <w:rFonts w:ascii="MiSans Light" w:hAnsi="MiSans Light" w:eastAsia="MiSans Light"/>
          <w:szCs w:val="21"/>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福建科达新能源科技有限公司</w:t>
      </w:r>
      <w:r>
        <w:rPr>
          <w:rFonts w:hint="eastAsia" w:ascii="MiSans Light" w:hAnsi="MiSans Light" w:eastAsia="MiSans Light"/>
          <w:szCs w:val="21"/>
          <w:u w:val="single"/>
          <w:lang w:val="en-US" w:eastAsia="zh-CN"/>
        </w:rPr>
        <w:t>D</w:t>
      </w:r>
      <w:r>
        <w:rPr>
          <w:rFonts w:hint="eastAsia" w:ascii="MiSans Light" w:hAnsi="MiSans Light" w:eastAsia="MiSans Light"/>
          <w:szCs w:val="21"/>
          <w:u w:val="single"/>
        </w:rPr>
        <w:t>区烟气脱硫系统</w:t>
      </w:r>
      <w:r>
        <w:rPr>
          <w:rFonts w:hint="eastAsia" w:ascii="MiSans Light" w:hAnsi="MiSans Light" w:eastAsia="MiSans Light"/>
          <w:szCs w:val="21"/>
          <w:u w:val="single"/>
          <w:lang w:val="en-US" w:eastAsia="zh-CN"/>
        </w:rPr>
        <w:t>项目</w:t>
      </w:r>
      <w:r>
        <w:rPr>
          <w:rFonts w:ascii="MiSans Light" w:hAnsi="MiSans Light" w:eastAsia="MiSans Light"/>
          <w:szCs w:val="21"/>
          <w:u w:val="single"/>
        </w:rPr>
        <w:t>招标</w:t>
      </w:r>
      <w:r>
        <w:rPr>
          <w:rFonts w:ascii="MiSans Light" w:hAnsi="MiSans Light" w:eastAsia="MiSans Light"/>
          <w:szCs w:val="21"/>
        </w:rPr>
        <w:t>的评标委员会，对你方的投标文件进行了仔细的审查，现需你方对下列问题以书面形式予以澄清：</w:t>
      </w:r>
    </w:p>
    <w:p w14:paraId="7DE22EC7">
      <w:pPr>
        <w:snapToGrid w:val="0"/>
        <w:rPr>
          <w:rFonts w:ascii="MiSans Light" w:hAnsi="MiSans Light" w:eastAsia="MiSans Light"/>
          <w:szCs w:val="21"/>
        </w:rPr>
      </w:pPr>
      <w:r>
        <w:rPr>
          <w:rFonts w:ascii="MiSans Light" w:hAnsi="MiSans Light" w:eastAsia="MiSans Light"/>
          <w:szCs w:val="21"/>
        </w:rPr>
        <w:t>　　</w:t>
      </w:r>
    </w:p>
    <w:p w14:paraId="5028594D">
      <w:pPr>
        <w:snapToGrid w:val="0"/>
        <w:rPr>
          <w:rFonts w:ascii="MiSans Light" w:hAnsi="MiSans Light" w:eastAsia="MiSans Light"/>
          <w:szCs w:val="21"/>
        </w:rPr>
      </w:pPr>
      <w:r>
        <w:rPr>
          <w:rFonts w:ascii="MiSans Light" w:hAnsi="MiSans Light" w:eastAsia="MiSans Light"/>
          <w:szCs w:val="21"/>
        </w:rPr>
        <w:t xml:space="preserve">    1.</w:t>
      </w:r>
    </w:p>
    <w:p w14:paraId="3D0376E9">
      <w:pPr>
        <w:snapToGrid w:val="0"/>
        <w:rPr>
          <w:rFonts w:ascii="MiSans Light" w:hAnsi="MiSans Light" w:eastAsia="MiSans Light"/>
          <w:szCs w:val="21"/>
        </w:rPr>
      </w:pPr>
      <w:r>
        <w:rPr>
          <w:rFonts w:ascii="MiSans Light" w:hAnsi="MiSans Light" w:eastAsia="MiSans Light"/>
          <w:szCs w:val="21"/>
        </w:rPr>
        <w:t xml:space="preserve">    2.</w:t>
      </w:r>
    </w:p>
    <w:p w14:paraId="78D74662">
      <w:pPr>
        <w:snapToGrid w:val="0"/>
        <w:rPr>
          <w:rFonts w:ascii="MiSans Light" w:hAnsi="MiSans Light" w:eastAsia="MiSans Light"/>
          <w:szCs w:val="21"/>
        </w:rPr>
      </w:pPr>
      <w:r>
        <w:rPr>
          <w:rFonts w:ascii="MiSans Light" w:hAnsi="MiSans Light" w:eastAsia="MiSans Light"/>
          <w:szCs w:val="21"/>
        </w:rPr>
        <w:t xml:space="preserve">     ......   </w:t>
      </w:r>
    </w:p>
    <w:p w14:paraId="78410B57">
      <w:pPr>
        <w:snapToGrid w:val="0"/>
        <w:rPr>
          <w:rFonts w:ascii="MiSans Light" w:hAnsi="MiSans Light" w:eastAsia="MiSans Light"/>
          <w:szCs w:val="21"/>
        </w:rPr>
      </w:pPr>
      <w:r>
        <w:rPr>
          <w:rFonts w:ascii="MiSans Light" w:hAnsi="MiSans Light" w:eastAsia="MiSans Light"/>
          <w:szCs w:val="21"/>
        </w:rPr>
        <w:t>　　　</w:t>
      </w:r>
    </w:p>
    <w:p w14:paraId="607E8794">
      <w:pPr>
        <w:snapToGrid w:val="0"/>
        <w:rPr>
          <w:rFonts w:ascii="MiSans Light" w:hAnsi="MiSans Light" w:eastAsia="MiSans Light"/>
          <w:szCs w:val="21"/>
        </w:rPr>
      </w:pPr>
    </w:p>
    <w:p w14:paraId="3D714CBC">
      <w:pPr>
        <w:snapToGrid w:val="0"/>
        <w:jc w:val="right"/>
        <w:rPr>
          <w:rFonts w:ascii="MiSans Light" w:hAnsi="MiSans Light" w:eastAsia="MiSans Light"/>
          <w:szCs w:val="21"/>
        </w:rPr>
      </w:pPr>
      <w:r>
        <w:rPr>
          <w:rFonts w:ascii="MiSans Light" w:hAnsi="MiSans Light" w:eastAsia="MiSans Light"/>
          <w:szCs w:val="21"/>
        </w:rPr>
        <w:t xml:space="preserve">                             </w:t>
      </w: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4CB3D1A5">
      <w:pPr>
        <w:snapToGrid w:val="0"/>
        <w:rPr>
          <w:rFonts w:ascii="MiSans Light" w:hAnsi="MiSans Light" w:eastAsia="MiSans Light"/>
          <w:szCs w:val="21"/>
        </w:rPr>
      </w:pPr>
    </w:p>
    <w:p w14:paraId="3793D2E4">
      <w:pPr>
        <w:snapToGrid w:val="0"/>
        <w:jc w:val="right"/>
        <w:rPr>
          <w:rFonts w:ascii="MiSans Light" w:hAnsi="MiSans Light" w:eastAsia="MiSans Light"/>
          <w:szCs w:val="21"/>
        </w:rPr>
      </w:pPr>
      <w:r>
        <w:rPr>
          <w:rFonts w:ascii="MiSans Light" w:hAnsi="MiSans Light" w:eastAsia="MiSans Light"/>
          <w:szCs w:val="21"/>
        </w:rPr>
        <w:t>年月日</w:t>
      </w:r>
    </w:p>
    <w:p w14:paraId="401BA40F">
      <w:pPr>
        <w:pStyle w:val="3"/>
      </w:pPr>
    </w:p>
    <w:p w14:paraId="20CB506E">
      <w:pPr>
        <w:pStyle w:val="3"/>
      </w:pPr>
    </w:p>
    <w:p w14:paraId="01DB0D5A">
      <w:pPr>
        <w:pStyle w:val="3"/>
      </w:pPr>
    </w:p>
    <w:p w14:paraId="2823176C">
      <w:pPr>
        <w:jc w:val="left"/>
        <w:rPr>
          <w:rFonts w:hint="eastAsia" w:ascii="MiSans Light" w:hAnsi="MiSans Light" w:eastAsia="MiSans Light"/>
          <w:b/>
          <w:bCs/>
          <w:sz w:val="32"/>
          <w:szCs w:val="32"/>
        </w:rPr>
      </w:pPr>
      <w:bookmarkStart w:id="11" w:name="_Toc88834959"/>
      <w:bookmarkStart w:id="12" w:name="_Toc152045583"/>
      <w:bookmarkStart w:id="13" w:name="_Toc13707"/>
      <w:bookmarkStart w:id="14" w:name="_Toc247527608"/>
      <w:bookmarkStart w:id="15" w:name="_Toc247514007"/>
      <w:bookmarkStart w:id="16" w:name="_Toc152042360"/>
      <w:bookmarkStart w:id="17" w:name="_Toc144974550"/>
    </w:p>
    <w:p w14:paraId="1B824DA5">
      <w:pPr>
        <w:jc w:val="left"/>
        <w:rPr>
          <w:rFonts w:hint="eastAsia" w:ascii="MiSans Light" w:hAnsi="MiSans Light" w:eastAsia="MiSans Light"/>
          <w:b/>
          <w:bCs/>
          <w:sz w:val="32"/>
          <w:szCs w:val="32"/>
        </w:rPr>
      </w:pPr>
    </w:p>
    <w:p w14:paraId="0AB65692">
      <w:pPr>
        <w:jc w:val="left"/>
        <w:rPr>
          <w:rFonts w:hint="eastAsia" w:ascii="MiSans Light" w:hAnsi="MiSans Light" w:eastAsia="MiSans Light"/>
          <w:b/>
          <w:bCs/>
          <w:sz w:val="32"/>
          <w:szCs w:val="32"/>
        </w:rPr>
      </w:pPr>
    </w:p>
    <w:p w14:paraId="178FB517">
      <w:pPr>
        <w:jc w:val="left"/>
        <w:rPr>
          <w:rFonts w:hint="eastAsia" w:ascii="MiSans Light" w:hAnsi="MiSans Light" w:eastAsia="MiSans Light"/>
          <w:b/>
          <w:bCs/>
          <w:sz w:val="32"/>
          <w:szCs w:val="32"/>
        </w:rPr>
      </w:pPr>
    </w:p>
    <w:p w14:paraId="464876EE">
      <w:pPr>
        <w:jc w:val="left"/>
        <w:rPr>
          <w:rFonts w:ascii="MiSans Light" w:hAnsi="MiSans Light" w:eastAsia="MiSans Light"/>
          <w:b/>
          <w:bCs/>
          <w:sz w:val="32"/>
          <w:szCs w:val="32"/>
        </w:rPr>
      </w:pPr>
      <w:r>
        <w:rPr>
          <w:rFonts w:hint="eastAsia" w:ascii="MiSans Light" w:hAnsi="MiSans Light" w:eastAsia="MiSans Light"/>
          <w:b/>
          <w:bCs/>
          <w:sz w:val="32"/>
          <w:szCs w:val="32"/>
        </w:rPr>
        <w:t>附件3：问题的澄清</w:t>
      </w:r>
      <w:bookmarkEnd w:id="11"/>
      <w:bookmarkEnd w:id="12"/>
      <w:bookmarkEnd w:id="13"/>
      <w:bookmarkEnd w:id="14"/>
      <w:bookmarkEnd w:id="15"/>
      <w:bookmarkEnd w:id="16"/>
      <w:bookmarkEnd w:id="17"/>
    </w:p>
    <w:p w14:paraId="259A893C">
      <w:pPr>
        <w:snapToGrid w:val="0"/>
        <w:jc w:val="center"/>
        <w:rPr>
          <w:rFonts w:ascii="MiSans Light" w:hAnsi="MiSans Light" w:eastAsia="MiSans Light"/>
          <w:sz w:val="28"/>
          <w:szCs w:val="28"/>
        </w:rPr>
      </w:pPr>
    </w:p>
    <w:p w14:paraId="20CE55A2">
      <w:pPr>
        <w:snapToGrid w:val="0"/>
        <w:rPr>
          <w:rFonts w:ascii="MiSans Light" w:hAnsi="MiSans Light" w:eastAsia="MiSans Light"/>
          <w:szCs w:val="21"/>
        </w:rPr>
      </w:pPr>
    </w:p>
    <w:p w14:paraId="44037509">
      <w:pPr>
        <w:snapToGrid w:val="0"/>
        <w:rPr>
          <w:rFonts w:ascii="MiSans Light" w:hAnsi="MiSans Light" w:eastAsia="MiSans Light"/>
          <w:szCs w:val="21"/>
        </w:rPr>
      </w:pPr>
    </w:p>
    <w:p w14:paraId="4F804C55">
      <w:pPr>
        <w:snapToGrid w:val="0"/>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对各投标单位提出的问题</w:t>
      </w:r>
      <w:r>
        <w:rPr>
          <w:rFonts w:ascii="MiSans Light" w:hAnsi="MiSans Light" w:eastAsia="MiSans Light"/>
          <w:szCs w:val="21"/>
        </w:rPr>
        <w:t>澄清如下：</w:t>
      </w:r>
    </w:p>
    <w:p w14:paraId="419B0DA9">
      <w:pPr>
        <w:snapToGrid w:val="0"/>
        <w:rPr>
          <w:rFonts w:ascii="MiSans Light" w:hAnsi="MiSans Light" w:eastAsia="MiSans Light"/>
          <w:szCs w:val="21"/>
        </w:rPr>
      </w:pPr>
      <w:r>
        <w:rPr>
          <w:rFonts w:ascii="MiSans Light" w:hAnsi="MiSans Light" w:eastAsia="MiSans Light"/>
          <w:szCs w:val="21"/>
        </w:rPr>
        <w:t>　     1.</w:t>
      </w:r>
    </w:p>
    <w:p w14:paraId="5049CB35">
      <w:pPr>
        <w:snapToGrid w:val="0"/>
        <w:rPr>
          <w:rFonts w:ascii="MiSans Light" w:hAnsi="MiSans Light" w:eastAsia="MiSans Light"/>
          <w:szCs w:val="21"/>
        </w:rPr>
      </w:pPr>
      <w:r>
        <w:rPr>
          <w:rFonts w:ascii="MiSans Light" w:hAnsi="MiSans Light" w:eastAsia="MiSans Light"/>
          <w:szCs w:val="21"/>
        </w:rPr>
        <w:t>　     2.</w:t>
      </w:r>
    </w:p>
    <w:p w14:paraId="7EE86B42">
      <w:pPr>
        <w:snapToGrid w:val="0"/>
        <w:rPr>
          <w:rFonts w:ascii="MiSans Light" w:hAnsi="MiSans Light" w:eastAsia="MiSans Light"/>
          <w:szCs w:val="21"/>
        </w:rPr>
      </w:pPr>
      <w:r>
        <w:rPr>
          <w:rFonts w:ascii="MiSans Light" w:hAnsi="MiSans Light" w:eastAsia="MiSans Light"/>
          <w:szCs w:val="21"/>
        </w:rPr>
        <w:t>　    .....</w:t>
      </w:r>
    </w:p>
    <w:p w14:paraId="49EC8DFB">
      <w:pPr>
        <w:snapToGrid w:val="0"/>
        <w:rPr>
          <w:rFonts w:ascii="MiSans Light" w:hAnsi="MiSans Light" w:eastAsia="MiSans Light"/>
          <w:szCs w:val="21"/>
        </w:rPr>
      </w:pPr>
    </w:p>
    <w:p w14:paraId="38A4E565">
      <w:pPr>
        <w:snapToGrid w:val="0"/>
        <w:rPr>
          <w:rFonts w:ascii="MiSans Light" w:hAnsi="MiSans Light" w:eastAsia="MiSans Light"/>
          <w:szCs w:val="21"/>
        </w:rPr>
      </w:pPr>
      <w:r>
        <w:rPr>
          <w:rFonts w:ascii="MiSans Light" w:hAnsi="MiSans Light" w:eastAsia="MiSans Light"/>
          <w:szCs w:val="21"/>
        </w:rPr>
        <w:t xml:space="preserve">　 </w:t>
      </w:r>
    </w:p>
    <w:p w14:paraId="2E3A20E9">
      <w:pPr>
        <w:snapToGrid w:val="0"/>
        <w:rPr>
          <w:rFonts w:ascii="MiSans Light" w:hAnsi="MiSans Light" w:eastAsia="MiSans Light"/>
          <w:szCs w:val="21"/>
        </w:rPr>
      </w:pPr>
    </w:p>
    <w:p w14:paraId="0D02EA8D">
      <w:pPr>
        <w:snapToGrid w:val="0"/>
        <w:rPr>
          <w:rFonts w:ascii="MiSans Light" w:hAnsi="MiSans Light" w:eastAsia="MiSans Light"/>
          <w:szCs w:val="21"/>
        </w:rPr>
      </w:pPr>
    </w:p>
    <w:p w14:paraId="6FA6EEC9">
      <w:pPr>
        <w:snapToGrid w:val="0"/>
        <w:rPr>
          <w:rFonts w:ascii="MiSans Light" w:hAnsi="MiSans Light" w:eastAsia="MiSans Light"/>
          <w:szCs w:val="21"/>
        </w:rPr>
      </w:pPr>
    </w:p>
    <w:p w14:paraId="3EC44F0D">
      <w:pPr>
        <w:snapToGrid w:val="0"/>
        <w:rPr>
          <w:rFonts w:ascii="MiSans Light" w:hAnsi="MiSans Light" w:eastAsia="MiSans Light"/>
          <w:szCs w:val="21"/>
        </w:rPr>
      </w:pPr>
    </w:p>
    <w:p w14:paraId="6CAAD910">
      <w:pPr>
        <w:snapToGrid w:val="0"/>
        <w:jc w:val="right"/>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福建科达新能源科技有限公司</w:t>
      </w:r>
      <w:r>
        <w:rPr>
          <w:rFonts w:ascii="MiSans Light" w:hAnsi="MiSans Light" w:eastAsia="MiSans Light"/>
          <w:szCs w:val="21"/>
        </w:rPr>
        <w:t>：（盖单位章）</w:t>
      </w:r>
    </w:p>
    <w:p w14:paraId="0CA20EEB">
      <w:pPr>
        <w:snapToGrid w:val="0"/>
        <w:jc w:val="right"/>
        <w:rPr>
          <w:rFonts w:ascii="MiSans Light" w:hAnsi="MiSans Light" w:eastAsia="MiSans Light"/>
          <w:szCs w:val="21"/>
        </w:rPr>
      </w:pPr>
      <w:r>
        <w:rPr>
          <w:rFonts w:ascii="MiSans Light" w:hAnsi="MiSans Light" w:eastAsia="MiSans Light"/>
          <w:szCs w:val="21"/>
        </w:rPr>
        <w:t>　　　　　　　　　　　　　　　</w:t>
      </w:r>
    </w:p>
    <w:p w14:paraId="4E5CD819">
      <w:pPr>
        <w:snapToGrid w:val="0"/>
        <w:jc w:val="right"/>
        <w:rPr>
          <w:rFonts w:ascii="MiSans Light" w:hAnsi="MiSans Light" w:eastAsia="MiSans Light"/>
          <w:szCs w:val="21"/>
        </w:rPr>
      </w:pPr>
      <w:r>
        <w:rPr>
          <w:rFonts w:ascii="MiSans Light" w:hAnsi="MiSans Light" w:eastAsia="MiSans Light"/>
          <w:szCs w:val="21"/>
        </w:rPr>
        <w:t>　　　　　　　　　　　　　　　法定代表人或其委托代理人：（签字）</w:t>
      </w:r>
    </w:p>
    <w:p w14:paraId="2F6A55EE">
      <w:pPr>
        <w:snapToGrid w:val="0"/>
        <w:jc w:val="right"/>
        <w:rPr>
          <w:rFonts w:ascii="MiSans Light" w:hAnsi="MiSans Light" w:eastAsia="MiSans Light"/>
          <w:szCs w:val="21"/>
        </w:rPr>
      </w:pPr>
      <w:r>
        <w:rPr>
          <w:rFonts w:ascii="MiSans Light" w:hAnsi="MiSans Light" w:eastAsia="MiSans Light"/>
          <w:szCs w:val="21"/>
        </w:rPr>
        <w:t>　　　　　　　　　　　　　　　</w:t>
      </w:r>
    </w:p>
    <w:p w14:paraId="103EDB24">
      <w:pPr>
        <w:snapToGrid w:val="0"/>
        <w:jc w:val="right"/>
        <w:rPr>
          <w:rFonts w:ascii="MiSans Light" w:hAnsi="MiSans Light" w:eastAsia="MiSans Light"/>
          <w:szCs w:val="21"/>
        </w:rPr>
      </w:pPr>
      <w:r>
        <w:rPr>
          <w:rFonts w:ascii="MiSans Light" w:hAnsi="MiSans Light" w:eastAsia="MiSans Light"/>
          <w:szCs w:val="21"/>
        </w:rPr>
        <w:t>　　　　　　　　　　　　　　　        年月日</w:t>
      </w:r>
    </w:p>
    <w:p w14:paraId="1816EFFA">
      <w:pPr>
        <w:pStyle w:val="2"/>
        <w:snapToGrid w:val="0"/>
        <w:spacing w:line="240" w:lineRule="auto"/>
        <w:rPr>
          <w:rFonts w:ascii="MiSans Light" w:hAnsi="MiSans Light" w:eastAsia="MiSans Light"/>
        </w:rPr>
      </w:pPr>
      <w:bookmarkStart w:id="18" w:name="_Toc152045584"/>
      <w:bookmarkStart w:id="19" w:name="_Toc9565"/>
      <w:bookmarkStart w:id="20" w:name="_Toc88834960"/>
      <w:bookmarkStart w:id="21" w:name="_Toc152042361"/>
      <w:bookmarkStart w:id="22" w:name="_Toc247514008"/>
      <w:bookmarkStart w:id="23" w:name="_Toc247527609"/>
      <w:bookmarkStart w:id="24" w:name="_Toc144974551"/>
      <w:r>
        <w:rPr>
          <w:rFonts w:hint="eastAsia" w:ascii="MiSans Light" w:hAnsi="MiSans Light" w:eastAsia="MiSans Light"/>
        </w:rPr>
        <w:t>附件4：中标通知书</w:t>
      </w:r>
      <w:bookmarkEnd w:id="18"/>
      <w:bookmarkEnd w:id="19"/>
      <w:bookmarkEnd w:id="20"/>
      <w:bookmarkEnd w:id="21"/>
      <w:bookmarkEnd w:id="22"/>
      <w:bookmarkEnd w:id="23"/>
      <w:bookmarkEnd w:id="24"/>
    </w:p>
    <w:p w14:paraId="2A8964F7">
      <w:pPr>
        <w:snapToGrid w:val="0"/>
        <w:rPr>
          <w:rFonts w:ascii="MiSans Light" w:hAnsi="MiSans Light" w:eastAsia="MiSans Light"/>
        </w:rPr>
      </w:pPr>
    </w:p>
    <w:p w14:paraId="1D977433">
      <w:pPr>
        <w:snapToGrid w:val="0"/>
        <w:jc w:val="center"/>
        <w:rPr>
          <w:rFonts w:ascii="MiSans Light" w:hAnsi="MiSans Light" w:eastAsia="MiSans Light"/>
          <w:sz w:val="28"/>
          <w:szCs w:val="28"/>
        </w:rPr>
      </w:pPr>
      <w:r>
        <w:rPr>
          <w:rFonts w:hint="eastAsia" w:ascii="MiSans Light" w:hAnsi="MiSans Light" w:eastAsia="MiSans Light"/>
          <w:sz w:val="28"/>
          <w:szCs w:val="28"/>
        </w:rPr>
        <w:t>中标通知书</w:t>
      </w:r>
    </w:p>
    <w:p w14:paraId="5DDE7446">
      <w:pPr>
        <w:snapToGrid w:val="0"/>
        <w:rPr>
          <w:rFonts w:ascii="MiSans Light" w:hAnsi="MiSans Light" w:eastAsia="MiSans Light"/>
        </w:rPr>
      </w:pPr>
    </w:p>
    <w:p w14:paraId="6B696558">
      <w:pPr>
        <w:snapToGrid w:val="0"/>
        <w:rPr>
          <w:rFonts w:ascii="MiSans Light" w:hAnsi="MiSans Light" w:eastAsia="MiSans Light"/>
          <w:szCs w:val="21"/>
        </w:rPr>
      </w:pPr>
      <w:r>
        <w:rPr>
          <w:rFonts w:hint="eastAsia" w:ascii="MiSans Light" w:hAnsi="MiSans Light" w:eastAsia="MiSans Light"/>
          <w:szCs w:val="21"/>
        </w:rPr>
        <w:t>XXXXXXXXX有限公司</w:t>
      </w:r>
      <w:r>
        <w:rPr>
          <w:rFonts w:ascii="MiSans Light" w:hAnsi="MiSans Light" w:eastAsia="MiSans Light"/>
          <w:szCs w:val="21"/>
        </w:rPr>
        <w:t>：</w:t>
      </w:r>
    </w:p>
    <w:p w14:paraId="1222EE39">
      <w:pPr>
        <w:snapToGrid w:val="0"/>
        <w:rPr>
          <w:rFonts w:ascii="MiSans Light" w:hAnsi="MiSans Light" w:eastAsia="MiSans Light"/>
          <w:szCs w:val="21"/>
        </w:rPr>
      </w:pPr>
    </w:p>
    <w:p w14:paraId="5EA90EF3">
      <w:pPr>
        <w:snapToGrid w:val="0"/>
        <w:rPr>
          <w:rFonts w:ascii="MiSans Light" w:hAnsi="MiSans Light" w:eastAsia="MiSans Light"/>
          <w:szCs w:val="21"/>
        </w:rPr>
      </w:pPr>
      <w:r>
        <w:rPr>
          <w:rFonts w:ascii="MiSans Light" w:hAnsi="MiSans Light" w:eastAsia="MiSans Light"/>
          <w:szCs w:val="21"/>
        </w:rPr>
        <w:t>　　你方于</w:t>
      </w:r>
      <w:r>
        <w:rPr>
          <w:rFonts w:hint="eastAsia" w:ascii="MiSans Light" w:hAnsi="MiSans Light" w:eastAsia="MiSans Light"/>
          <w:szCs w:val="21"/>
        </w:rPr>
        <w:t>202</w:t>
      </w:r>
      <w:r>
        <w:rPr>
          <w:rFonts w:hint="eastAsia" w:ascii="MiSans Light" w:hAnsi="MiSans Light" w:eastAsia="MiSans Light"/>
          <w:szCs w:val="21"/>
          <w:lang w:val="en-US" w:eastAsia="zh-CN"/>
        </w:rPr>
        <w:t>6</w:t>
      </w:r>
      <w:r>
        <w:rPr>
          <w:rFonts w:hint="eastAsia" w:ascii="MiSans Light" w:hAnsi="MiSans Light" w:eastAsia="MiSans Light"/>
          <w:szCs w:val="21"/>
        </w:rPr>
        <w:t>年X月X日</w:t>
      </w:r>
      <w:r>
        <w:rPr>
          <w:rFonts w:ascii="MiSans Light" w:hAnsi="MiSans Light" w:eastAsia="MiSans Light"/>
          <w:szCs w:val="21"/>
        </w:rPr>
        <w:t>所递交的</w:t>
      </w:r>
      <w:r>
        <w:rPr>
          <w:rFonts w:hint="eastAsia" w:ascii="MiSans Light" w:hAnsi="MiSans Light" w:eastAsia="MiSans Light"/>
          <w:szCs w:val="21"/>
          <w:u w:val="single"/>
        </w:rPr>
        <w:t>福建科达新能源科技有限公司</w:t>
      </w:r>
      <w:r>
        <w:rPr>
          <w:rFonts w:hint="eastAsia" w:ascii="MiSans Light" w:hAnsi="MiSans Light" w:eastAsia="MiSans Light"/>
          <w:szCs w:val="21"/>
          <w:u w:val="single"/>
          <w:lang w:val="en-US" w:eastAsia="zh-CN"/>
        </w:rPr>
        <w:t>D</w:t>
      </w:r>
      <w:r>
        <w:rPr>
          <w:rFonts w:hint="eastAsia" w:ascii="MiSans Light" w:hAnsi="MiSans Light" w:eastAsia="MiSans Light"/>
          <w:szCs w:val="21"/>
          <w:u w:val="single"/>
        </w:rPr>
        <w:t>区烟气脱硫系统</w:t>
      </w:r>
      <w:r>
        <w:rPr>
          <w:rFonts w:hint="eastAsia" w:ascii="MiSans Light" w:hAnsi="MiSans Light" w:eastAsia="MiSans Light"/>
          <w:szCs w:val="21"/>
          <w:u w:val="single"/>
          <w:lang w:val="en-US" w:eastAsia="zh-CN"/>
        </w:rPr>
        <w:t>项目</w:t>
      </w:r>
      <w:r>
        <w:rPr>
          <w:rFonts w:hint="eastAsia" w:ascii="MiSans Light" w:hAnsi="MiSans Light" w:eastAsia="MiSans Light"/>
          <w:szCs w:val="21"/>
        </w:rPr>
        <w:t>招标的</w:t>
      </w:r>
      <w:r>
        <w:rPr>
          <w:rFonts w:ascii="MiSans Light" w:hAnsi="MiSans Light" w:eastAsia="MiSans Light"/>
          <w:szCs w:val="21"/>
        </w:rPr>
        <w:t>投标文件已被我方接受，被确定为中标人。</w:t>
      </w:r>
    </w:p>
    <w:p w14:paraId="3357A1D9">
      <w:pPr>
        <w:snapToGrid w:val="0"/>
        <w:ind w:firstLine="420"/>
        <w:rPr>
          <w:rFonts w:ascii="MiSans Light" w:hAnsi="MiSans Light" w:eastAsia="MiSans Light"/>
          <w:szCs w:val="21"/>
        </w:rPr>
      </w:pPr>
      <w:r>
        <w:rPr>
          <w:rFonts w:ascii="MiSans Light" w:hAnsi="MiSans Light" w:eastAsia="MiSans Light"/>
          <w:szCs w:val="21"/>
        </w:rPr>
        <w:t>中标价：</w:t>
      </w:r>
      <w:r>
        <w:rPr>
          <w:rFonts w:hint="eastAsia" w:ascii="MiSans Light" w:hAnsi="MiSans Light" w:eastAsia="MiSans Light"/>
          <w:szCs w:val="21"/>
          <w:u w:val="single"/>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万</w:t>
      </w:r>
      <w:r>
        <w:rPr>
          <w:rFonts w:ascii="MiSans Light" w:hAnsi="MiSans Light" w:eastAsia="MiSans Light"/>
          <w:szCs w:val="21"/>
        </w:rPr>
        <w:t>元。</w:t>
      </w:r>
    </w:p>
    <w:p w14:paraId="1E1C98EE">
      <w:pPr>
        <w:snapToGrid w:val="0"/>
        <w:ind w:firstLine="420"/>
        <w:rPr>
          <w:rFonts w:ascii="MiSans Light" w:hAnsi="MiSans Light" w:eastAsia="MiSans Light"/>
          <w:szCs w:val="21"/>
        </w:rPr>
      </w:pPr>
      <w:r>
        <w:rPr>
          <w:rFonts w:ascii="MiSans Light" w:hAnsi="MiSans Light" w:eastAsia="MiSans Light"/>
          <w:szCs w:val="21"/>
        </w:rPr>
        <w:t>请你方在接到本通知书后的</w:t>
      </w:r>
      <w:r>
        <w:rPr>
          <w:rFonts w:hint="eastAsia" w:ascii="MiSans Light" w:hAnsi="MiSans Light" w:eastAsia="MiSans Light"/>
          <w:szCs w:val="21"/>
        </w:rPr>
        <w:t>7</w:t>
      </w:r>
      <w:r>
        <w:rPr>
          <w:rFonts w:ascii="MiSans Light" w:hAnsi="MiSans Light" w:eastAsia="MiSans Light"/>
          <w:szCs w:val="21"/>
        </w:rPr>
        <w:t>日内到</w:t>
      </w:r>
      <w:r>
        <w:rPr>
          <w:rFonts w:hint="eastAsia" w:ascii="MiSans Light" w:hAnsi="MiSans Light" w:eastAsia="MiSans Light"/>
          <w:szCs w:val="21"/>
        </w:rPr>
        <w:t>福建省三明市大田县太华镇罗丰工业园福建科达新能源科技有限公司</w:t>
      </w:r>
      <w:r>
        <w:rPr>
          <w:rFonts w:ascii="MiSans Light" w:hAnsi="MiSans Light" w:eastAsia="MiSans Light"/>
          <w:szCs w:val="21"/>
        </w:rPr>
        <w:t>与我方签订合同。</w:t>
      </w:r>
    </w:p>
    <w:p w14:paraId="3A9ED090">
      <w:pPr>
        <w:snapToGrid w:val="0"/>
        <w:rPr>
          <w:rFonts w:ascii="MiSans Light" w:hAnsi="MiSans Light" w:eastAsia="MiSans Light"/>
          <w:szCs w:val="21"/>
        </w:rPr>
      </w:pPr>
      <w:r>
        <w:rPr>
          <w:rFonts w:ascii="MiSans Light" w:hAnsi="MiSans Light" w:eastAsia="MiSans Light"/>
          <w:szCs w:val="21"/>
        </w:rPr>
        <w:t>　　特此通知。</w:t>
      </w:r>
    </w:p>
    <w:p w14:paraId="20B06847">
      <w:pPr>
        <w:snapToGrid w:val="0"/>
        <w:rPr>
          <w:rFonts w:ascii="MiSans Light" w:hAnsi="MiSans Light" w:eastAsia="MiSans Light"/>
          <w:szCs w:val="21"/>
        </w:rPr>
      </w:pPr>
    </w:p>
    <w:p w14:paraId="73583947">
      <w:pPr>
        <w:snapToGrid w:val="0"/>
        <w:rPr>
          <w:rFonts w:ascii="MiSans Light" w:hAnsi="MiSans Light" w:eastAsia="MiSans Light"/>
          <w:szCs w:val="21"/>
        </w:rPr>
      </w:pPr>
    </w:p>
    <w:p w14:paraId="1E95B518">
      <w:pPr>
        <w:snapToGrid w:val="0"/>
        <w:ind w:firstLine="3238" w:firstLineChars="1542"/>
        <w:jc w:val="right"/>
        <w:rPr>
          <w:rFonts w:ascii="MiSans Light" w:hAnsi="MiSans Light" w:eastAsia="MiSans Light"/>
          <w:szCs w:val="21"/>
        </w:rPr>
      </w:pPr>
      <w:r>
        <w:rPr>
          <w:rFonts w:ascii="MiSans Light" w:hAnsi="MiSans Light" w:eastAsia="MiSans Light"/>
          <w:szCs w:val="21"/>
        </w:rPr>
        <w:t>招标人：（盖单位章）</w:t>
      </w:r>
    </w:p>
    <w:p w14:paraId="00A4CF0A">
      <w:pPr>
        <w:snapToGrid w:val="0"/>
        <w:ind w:firstLine="3238" w:firstLineChars="1542"/>
        <w:jc w:val="right"/>
        <w:rPr>
          <w:rFonts w:ascii="MiSans Light" w:hAnsi="MiSans Light" w:eastAsia="MiSans Light"/>
          <w:szCs w:val="21"/>
        </w:rPr>
      </w:pPr>
      <w:r>
        <w:rPr>
          <w:rFonts w:ascii="MiSans Light" w:hAnsi="MiSans Light" w:eastAsia="MiSans Light"/>
          <w:szCs w:val="21"/>
        </w:rPr>
        <w:t xml:space="preserve">            </w:t>
      </w:r>
    </w:p>
    <w:p w14:paraId="6D79F907">
      <w:pPr>
        <w:snapToGrid w:val="0"/>
        <w:ind w:firstLine="3863" w:firstLineChars="1840"/>
        <w:jc w:val="right"/>
        <w:rPr>
          <w:rFonts w:ascii="MiSans Light" w:hAnsi="MiSans Light" w:eastAsia="MiSans Light"/>
          <w:szCs w:val="21"/>
        </w:rPr>
      </w:pPr>
      <w:r>
        <w:rPr>
          <w:rFonts w:hint="eastAsia" w:ascii="MiSans Light" w:hAnsi="MiSans Light" w:eastAsia="MiSans Light"/>
          <w:szCs w:val="21"/>
        </w:rPr>
        <w:t>202</w:t>
      </w:r>
      <w:r>
        <w:rPr>
          <w:rFonts w:hint="eastAsia" w:ascii="MiSans Light" w:hAnsi="MiSans Light" w:eastAsia="MiSans Light"/>
          <w:szCs w:val="21"/>
          <w:lang w:val="en-US" w:eastAsia="zh-CN"/>
        </w:rPr>
        <w:t>5</w:t>
      </w:r>
      <w:r>
        <w:rPr>
          <w:rFonts w:ascii="MiSans Light" w:hAnsi="MiSans Light" w:eastAsia="MiSans Light"/>
          <w:szCs w:val="21"/>
        </w:rPr>
        <w:t>年X月X日</w:t>
      </w:r>
    </w:p>
    <w:p w14:paraId="1B1920C0">
      <w:pPr>
        <w:snapToGrid w:val="0"/>
        <w:rPr>
          <w:rFonts w:ascii="MiSans Light" w:hAnsi="MiSans Light" w:eastAsia="MiSans Light"/>
        </w:rPr>
      </w:pPr>
    </w:p>
    <w:p w14:paraId="2D6C968C">
      <w:pPr>
        <w:snapToGrid w:val="0"/>
        <w:rPr>
          <w:rFonts w:ascii="MiSans Light" w:hAnsi="MiSans Light" w:eastAsia="MiSans Light"/>
        </w:rPr>
      </w:pPr>
    </w:p>
    <w:p w14:paraId="5737DE1F">
      <w:pPr>
        <w:snapToGrid w:val="0"/>
        <w:rPr>
          <w:rFonts w:ascii="MiSans Light" w:hAnsi="MiSans Light" w:eastAsia="MiSans Light"/>
        </w:rPr>
      </w:pPr>
    </w:p>
    <w:p w14:paraId="79D179C5">
      <w:pPr>
        <w:snapToGrid w:val="0"/>
        <w:rPr>
          <w:rFonts w:ascii="MiSans Light" w:hAnsi="MiSans Light" w:eastAsia="MiSans Light"/>
        </w:rPr>
      </w:pPr>
    </w:p>
    <w:p w14:paraId="685AA6AF">
      <w:pPr>
        <w:snapToGrid w:val="0"/>
        <w:rPr>
          <w:rFonts w:ascii="MiSans Light" w:hAnsi="MiSans Light" w:eastAsia="MiSans Light"/>
        </w:rPr>
      </w:pPr>
    </w:p>
    <w:p w14:paraId="063F575A">
      <w:pPr>
        <w:spacing w:line="480" w:lineRule="auto"/>
        <w:jc w:val="left"/>
        <w:rPr>
          <w:rFonts w:hint="eastAsia"/>
          <w:b/>
          <w:sz w:val="28"/>
          <w:szCs w:val="28"/>
        </w:rPr>
      </w:pPr>
    </w:p>
    <w:p w14:paraId="5C631E8F">
      <w:pPr>
        <w:spacing w:line="480" w:lineRule="auto"/>
        <w:jc w:val="left"/>
        <w:rPr>
          <w:rFonts w:ascii="MiSans Light" w:hAnsi="MiSans Light" w:eastAsia="MiSans Light"/>
          <w:b/>
          <w:bCs/>
          <w:sz w:val="32"/>
          <w:szCs w:val="32"/>
        </w:rPr>
      </w:pPr>
      <w:r>
        <w:rPr>
          <w:rFonts w:hint="eastAsia" w:ascii="MiSans Light" w:hAnsi="MiSans Light" w:eastAsia="MiSans Light"/>
          <w:b/>
          <w:bCs/>
          <w:sz w:val="32"/>
          <w:szCs w:val="32"/>
        </w:rPr>
        <w:t>附件5：投标确认函</w:t>
      </w:r>
    </w:p>
    <w:p w14:paraId="58BB8836">
      <w:pPr>
        <w:spacing w:line="480" w:lineRule="auto"/>
        <w:ind w:left="482" w:hanging="482" w:hangingChars="100"/>
        <w:jc w:val="center"/>
        <w:rPr>
          <w:rFonts w:hint="eastAsia" w:ascii="MiSans Light" w:hAnsi="MiSans Light" w:eastAsia="MiSans Light" w:cs="黑体"/>
          <w:b/>
          <w:bCs/>
          <w:sz w:val="48"/>
          <w:szCs w:val="48"/>
        </w:rPr>
      </w:pPr>
      <w:r>
        <w:rPr>
          <w:rFonts w:hint="eastAsia" w:ascii="MiSans Light" w:hAnsi="MiSans Light" w:eastAsia="MiSans Light" w:cs="黑体"/>
          <w:b/>
          <w:bCs/>
          <w:sz w:val="48"/>
          <w:szCs w:val="48"/>
        </w:rPr>
        <w:t>福建科达新能源科技有限公司</w:t>
      </w:r>
    </w:p>
    <w:p w14:paraId="06B79B20">
      <w:pPr>
        <w:spacing w:line="480" w:lineRule="auto"/>
        <w:ind w:left="281" w:hanging="281" w:hangingChars="100"/>
        <w:jc w:val="center"/>
        <w:rPr>
          <w:rFonts w:ascii="宋体" w:hAnsi="宋体"/>
          <w:b/>
          <w:sz w:val="28"/>
          <w:szCs w:val="28"/>
        </w:rPr>
      </w:pPr>
      <w:r>
        <w:rPr>
          <w:rFonts w:hint="eastAsia" w:ascii="宋体" w:hAnsi="宋体"/>
          <w:b/>
          <w:sz w:val="28"/>
          <w:szCs w:val="28"/>
          <w:lang w:val="en-US" w:eastAsia="zh-CN"/>
        </w:rPr>
        <w:t>D</w:t>
      </w:r>
      <w:r>
        <w:rPr>
          <w:rFonts w:hint="eastAsia" w:ascii="宋体" w:hAnsi="宋体"/>
          <w:b/>
          <w:sz w:val="28"/>
          <w:szCs w:val="28"/>
        </w:rPr>
        <w:t>区烟气脱硫系统</w:t>
      </w:r>
      <w:r>
        <w:rPr>
          <w:rFonts w:hint="eastAsia" w:ascii="宋体" w:hAnsi="宋体"/>
          <w:b/>
          <w:sz w:val="28"/>
          <w:szCs w:val="28"/>
          <w:lang w:val="en-US" w:eastAsia="zh-CN"/>
        </w:rPr>
        <w:t>项目</w:t>
      </w:r>
      <w:r>
        <w:rPr>
          <w:rFonts w:hint="eastAsia" w:ascii="宋体" w:hAnsi="宋体"/>
          <w:b/>
          <w:sz w:val="28"/>
          <w:szCs w:val="28"/>
        </w:rPr>
        <w:t>投标确认函</w:t>
      </w:r>
    </w:p>
    <w:p w14:paraId="7AF441B2">
      <w:pPr>
        <w:spacing w:line="480" w:lineRule="auto"/>
        <w:jc w:val="center"/>
        <w:rPr>
          <w:rFonts w:ascii="宋体" w:hAnsi="宋体"/>
          <w:sz w:val="28"/>
          <w:szCs w:val="28"/>
        </w:rPr>
      </w:pPr>
    </w:p>
    <w:p w14:paraId="28790618">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047D6497">
      <w:pPr>
        <w:pStyle w:val="3"/>
      </w:pPr>
    </w:p>
    <w:p w14:paraId="502DB84F">
      <w:pPr>
        <w:snapToGrid w:val="0"/>
        <w:rPr>
          <w:rFonts w:ascii="MiSans Light" w:hAnsi="MiSans Light" w:eastAsia="MiSans Light"/>
          <w:szCs w:val="21"/>
        </w:rPr>
      </w:pPr>
      <w:r>
        <w:rPr>
          <w:rFonts w:hint="eastAsia" w:ascii="MiSans Light" w:hAnsi="MiSans Light" w:eastAsia="MiSans Light"/>
          <w:szCs w:val="21"/>
        </w:rPr>
        <w:t>我方已收到福建科达新能源科技有限公司</w:t>
      </w:r>
      <w:r>
        <w:rPr>
          <w:rFonts w:hint="eastAsia" w:ascii="MiSans Light" w:hAnsi="MiSans Light" w:eastAsia="MiSans Light"/>
          <w:szCs w:val="21"/>
          <w:lang w:val="en-US" w:eastAsia="zh-CN"/>
        </w:rPr>
        <w:t>D</w:t>
      </w:r>
      <w:r>
        <w:rPr>
          <w:rFonts w:hint="eastAsia" w:ascii="MiSans Light" w:hAnsi="MiSans Light" w:eastAsia="MiSans Light"/>
          <w:szCs w:val="21"/>
        </w:rPr>
        <w:t>区烟气脱硫系统</w:t>
      </w:r>
      <w:r>
        <w:rPr>
          <w:rFonts w:hint="eastAsia" w:ascii="MiSans Light" w:hAnsi="MiSans Light" w:eastAsia="MiSans Light"/>
          <w:szCs w:val="21"/>
          <w:lang w:val="en-US" w:eastAsia="zh-CN"/>
        </w:rPr>
        <w:t>项目</w:t>
      </w:r>
      <w:r>
        <w:rPr>
          <w:rFonts w:hint="eastAsia" w:ascii="MiSans Light" w:hAnsi="MiSans Light" w:eastAsia="MiSans Light"/>
          <w:szCs w:val="21"/>
        </w:rPr>
        <w:t>招标的</w:t>
      </w:r>
      <w:r>
        <w:rPr>
          <w:rFonts w:hint="eastAsia" w:ascii="MiSans Light" w:hAnsi="MiSans Light" w:eastAsia="MiSans Light"/>
          <w:szCs w:val="21"/>
          <w:u w:val="none"/>
        </w:rPr>
        <w:t>投标邀请函</w:t>
      </w:r>
      <w:r>
        <w:rPr>
          <w:rFonts w:hint="eastAsia" w:ascii="MiSans Light" w:hAnsi="MiSans Light" w:eastAsia="MiSans Light"/>
          <w:szCs w:val="21"/>
        </w:rPr>
        <w:t>（招标编号）FJKDC-2026061701，并且：</w:t>
      </w:r>
    </w:p>
    <w:p w14:paraId="23F0CB74">
      <w:pPr>
        <w:snapToGrid w:val="0"/>
        <w:rPr>
          <w:rFonts w:ascii="MiSans Light" w:hAnsi="MiSans Light" w:eastAsia="MiSans Light"/>
          <w:szCs w:val="21"/>
        </w:rPr>
      </w:pPr>
      <w:r>
        <w:rPr>
          <w:rFonts w:hint="eastAsia" w:ascii="MiSans Light" w:hAnsi="MiSans Light" w:eastAsia="MiSans Light"/>
          <w:szCs w:val="21"/>
        </w:rPr>
        <w:t>1、我方已收到招标文件，所有文件齐全完整。</w:t>
      </w:r>
    </w:p>
    <w:p w14:paraId="65E07BAC">
      <w:pPr>
        <w:snapToGrid w:val="0"/>
        <w:rPr>
          <w:rFonts w:ascii="MiSans Light" w:hAnsi="MiSans Light" w:eastAsia="MiSans Light"/>
          <w:szCs w:val="21"/>
        </w:rPr>
      </w:pPr>
      <w:r>
        <w:rPr>
          <w:rFonts w:hint="eastAsia" w:ascii="MiSans Light" w:hAnsi="MiSans Light" w:eastAsia="MiSans Light"/>
          <w:szCs w:val="21"/>
        </w:rPr>
        <w:t>2、确认开标时间为202</w:t>
      </w:r>
      <w:r>
        <w:rPr>
          <w:rFonts w:hint="eastAsia" w:ascii="MiSans Light" w:hAnsi="MiSans Light" w:eastAsia="MiSans Light"/>
          <w:szCs w:val="21"/>
          <w:lang w:val="en-US" w:eastAsia="zh-CN"/>
        </w:rPr>
        <w:t>6</w:t>
      </w:r>
      <w:r>
        <w:rPr>
          <w:rFonts w:hint="eastAsia" w:ascii="MiSans Light" w:hAnsi="MiSans Light" w:eastAsia="MiSans Light"/>
          <w:szCs w:val="21"/>
        </w:rPr>
        <w:t>年0</w:t>
      </w:r>
      <w:r>
        <w:rPr>
          <w:rFonts w:hint="eastAsia" w:ascii="MiSans Light" w:hAnsi="MiSans Light" w:eastAsia="MiSans Light"/>
          <w:szCs w:val="21"/>
          <w:lang w:val="en-US" w:eastAsia="zh-CN"/>
        </w:rPr>
        <w:t>7</w:t>
      </w:r>
      <w:r>
        <w:rPr>
          <w:rFonts w:hint="eastAsia" w:ascii="MiSans Light" w:hAnsi="MiSans Light" w:eastAsia="MiSans Light"/>
          <w:szCs w:val="21"/>
        </w:rPr>
        <w:t>月</w:t>
      </w:r>
      <w:r>
        <w:rPr>
          <w:rFonts w:hint="eastAsia" w:ascii="MiSans Light" w:hAnsi="MiSans Light" w:eastAsia="MiSans Light"/>
          <w:szCs w:val="21"/>
          <w:lang w:val="en-US" w:eastAsia="zh-CN"/>
        </w:rPr>
        <w:t>08</w:t>
      </w:r>
      <w:r>
        <w:rPr>
          <w:rFonts w:hint="eastAsia" w:ascii="MiSans Light" w:hAnsi="MiSans Light" w:eastAsia="MiSans Light"/>
          <w:szCs w:val="21"/>
        </w:rPr>
        <w:t>日，我方将派员准时参加。</w:t>
      </w:r>
    </w:p>
    <w:p w14:paraId="0DC2D819">
      <w:pPr>
        <w:snapToGrid w:val="0"/>
        <w:rPr>
          <w:rFonts w:ascii="MiSans Light" w:hAnsi="MiSans Light" w:eastAsia="MiSans Light"/>
          <w:szCs w:val="21"/>
        </w:rPr>
      </w:pPr>
    </w:p>
    <w:p w14:paraId="54749C8C">
      <w:pPr>
        <w:snapToGrid w:val="0"/>
        <w:ind w:firstLine="5880" w:firstLineChars="2800"/>
        <w:rPr>
          <w:rFonts w:ascii="MiSans Light" w:hAnsi="MiSans Light" w:eastAsia="MiSans Light"/>
          <w:szCs w:val="21"/>
        </w:rPr>
      </w:pPr>
      <w:bookmarkStart w:id="25" w:name="_GoBack"/>
      <w:bookmarkEnd w:id="25"/>
      <w:r>
        <w:rPr>
          <w:rFonts w:hint="eastAsia" w:ascii="MiSans Light" w:hAnsi="MiSans Light" w:eastAsia="MiSans Light"/>
          <w:szCs w:val="21"/>
        </w:rPr>
        <w:t>单位：</w:t>
      </w:r>
    </w:p>
    <w:p w14:paraId="1F39406F">
      <w:pPr>
        <w:snapToGrid w:val="0"/>
        <w:rPr>
          <w:rFonts w:ascii="MiSans Light" w:hAnsi="MiSans Light" w:eastAsia="MiSans Light"/>
          <w:szCs w:val="21"/>
        </w:rPr>
      </w:pPr>
    </w:p>
    <w:p w14:paraId="3749E7D5">
      <w:pPr>
        <w:snapToGrid w:val="0"/>
        <w:ind w:firstLine="5880" w:firstLineChars="2800"/>
        <w:rPr>
          <w:rFonts w:ascii="MiSans Light" w:hAnsi="MiSans Light" w:eastAsia="MiSans Light"/>
          <w:szCs w:val="21"/>
        </w:rPr>
      </w:pPr>
      <w:r>
        <w:rPr>
          <w:rFonts w:hint="eastAsia" w:ascii="MiSans Light" w:hAnsi="MiSans Light" w:eastAsia="MiSans Light"/>
          <w:szCs w:val="21"/>
        </w:rPr>
        <w:t>法定代表人（或授权人）</w:t>
      </w:r>
    </w:p>
    <w:p w14:paraId="6C8ACF8F">
      <w:pPr>
        <w:snapToGrid w:val="0"/>
        <w:rPr>
          <w:rFonts w:ascii="MiSans Light" w:hAnsi="MiSans Light" w:eastAsia="MiSans Light"/>
          <w:szCs w:val="21"/>
        </w:rPr>
      </w:pPr>
    </w:p>
    <w:p w14:paraId="21F14FAE">
      <w:pPr>
        <w:snapToGrid w:val="0"/>
        <w:ind w:firstLine="5880" w:firstLineChars="2800"/>
        <w:rPr>
          <w:rFonts w:ascii="宋体" w:hAnsi="宋体"/>
          <w:sz w:val="28"/>
          <w:szCs w:val="28"/>
        </w:rPr>
      </w:pPr>
      <w:r>
        <w:rPr>
          <w:rFonts w:hint="eastAsia" w:ascii="MiSans Light" w:hAnsi="MiSans Light" w:eastAsia="MiSans Light"/>
          <w:szCs w:val="21"/>
        </w:rPr>
        <w:t>日期：      年   月   日</w:t>
      </w:r>
    </w:p>
    <w:p w14:paraId="3ADD711C">
      <w:pPr>
        <w:pStyle w:val="3"/>
      </w:pPr>
    </w:p>
    <w:p w14:paraId="49F8CA3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iSans Light">
    <w:altName w:val="宋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C369">
    <w:pPr>
      <w:pStyle w:val="3"/>
      <w:jc w:val="center"/>
      <w:rPr>
        <w:rFonts w:ascii="Cambria" w:hAnsi="Cambria"/>
        <w:color w:val="4F81BD"/>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BE8">
    <w:pPr>
      <w:pStyle w:val="3"/>
      <w:jc w:val="center"/>
      <w:rPr>
        <w:rFonts w:ascii="Cambria" w:hAnsi="Cambria"/>
        <w:sz w:val="28"/>
        <w:szCs w:val="28"/>
      </w:rPr>
    </w:pPr>
    <w:r>
      <w:rPr>
        <w:rFonts w:ascii="Cambria" w:hAnsi="Cambria"/>
        <w:sz w:val="28"/>
        <w:szCs w:val="28"/>
        <w:lang w:val="zh-CN"/>
      </w:rPr>
      <w:t xml:space="preserve">~ </w:t>
    </w:r>
    <w:r>
      <w:rPr>
        <w:sz w:val="22"/>
        <w:szCs w:val="22"/>
      </w:rPr>
      <w:fldChar w:fldCharType="begin"/>
    </w:r>
    <w:r>
      <w:instrText xml:space="preserve">PAGE    \* MERGEFORMAT</w:instrText>
    </w:r>
    <w:r>
      <w:rPr>
        <w:sz w:val="22"/>
        <w:szCs w:val="22"/>
      </w:rPr>
      <w:fldChar w:fldCharType="separate"/>
    </w:r>
    <w:r>
      <w:rPr>
        <w:sz w:val="22"/>
        <w:szCs w:val="22"/>
      </w:rPr>
      <w:t>101</w:t>
    </w:r>
    <w:r>
      <w:rPr>
        <w:rFonts w:ascii="Cambria" w:hAnsi="Cambria"/>
        <w:sz w:val="28"/>
        <w:szCs w:val="28"/>
      </w:rPr>
      <w:fldChar w:fldCharType="end"/>
    </w:r>
    <w:r>
      <w:rPr>
        <w:rFonts w:ascii="Cambria" w:hAnsi="Cambria"/>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8814E"/>
    <w:multiLevelType w:val="singleLevel"/>
    <w:tmpl w:val="E798814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66B57"/>
    <w:rsid w:val="0421700E"/>
    <w:rsid w:val="0C00327C"/>
    <w:rsid w:val="0F69089E"/>
    <w:rsid w:val="154378C3"/>
    <w:rsid w:val="24793609"/>
    <w:rsid w:val="3FF23518"/>
    <w:rsid w:val="52BA2D69"/>
    <w:rsid w:val="57936DA8"/>
    <w:rsid w:val="5A966B57"/>
    <w:rsid w:val="7222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19"/>
    <w:basedOn w:val="1"/>
    <w:qFormat/>
    <w:uiPriority w:val="0"/>
    <w:pPr>
      <w:widowControl/>
    </w:pPr>
    <w:rPr>
      <w:kern w:val="0"/>
      <w:szCs w:val="21"/>
    </w:rPr>
  </w:style>
  <w:style w:type="character" w:customStyle="1" w:styleId="8">
    <w:name w:val="NormalCharacter"/>
    <w:qFormat/>
    <w:uiPriority w:val="0"/>
  </w:style>
  <w:style w:type="character" w:customStyle="1" w:styleId="9">
    <w:name w:val="font11"/>
    <w:basedOn w:val="6"/>
    <w:qFormat/>
    <w:uiPriority w:val="0"/>
    <w:rPr>
      <w:rFonts w:hint="eastAsia" w:ascii="宋体" w:hAnsi="宋体" w:eastAsia="宋体" w:cs="宋体"/>
      <w:b/>
      <w:bCs/>
      <w:color w:val="000000"/>
      <w:sz w:val="24"/>
      <w:szCs w:val="24"/>
      <w:u w:val="none"/>
    </w:rPr>
  </w:style>
  <w:style w:type="character" w:customStyle="1" w:styleId="10">
    <w:name w:val="font61"/>
    <w:basedOn w:val="6"/>
    <w:qFormat/>
    <w:uiPriority w:val="0"/>
    <w:rPr>
      <w:rFonts w:hint="eastAsia" w:ascii="等线" w:hAnsi="等线" w:eastAsia="等线" w:cs="等线"/>
      <w:b/>
      <w:bCs/>
      <w:color w:val="000000"/>
      <w:sz w:val="24"/>
      <w:szCs w:val="24"/>
      <w:u w:val="none"/>
    </w:rPr>
  </w:style>
  <w:style w:type="character" w:customStyle="1" w:styleId="11">
    <w:name w:val="font112"/>
    <w:basedOn w:val="6"/>
    <w:qFormat/>
    <w:uiPriority w:val="0"/>
    <w:rPr>
      <w:rFonts w:hint="default" w:ascii="Segoe UI" w:hAnsi="Segoe UI" w:eastAsia="Segoe UI" w:cs="Segoe UI"/>
      <w:color w:val="404040"/>
      <w:sz w:val="23"/>
      <w:szCs w:val="23"/>
      <w:u w:val="none"/>
    </w:rPr>
  </w:style>
  <w:style w:type="character" w:customStyle="1" w:styleId="12">
    <w:name w:val="font81"/>
    <w:basedOn w:val="6"/>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5690</Words>
  <Characters>6063</Characters>
  <Lines>0</Lines>
  <Paragraphs>0</Paragraphs>
  <TotalTime>1</TotalTime>
  <ScaleCrop>false</ScaleCrop>
  <LinksUpToDate>false</LinksUpToDate>
  <CharactersWithSpaces>6378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2025-09-04T15:20:00Z</dcterms:created>
  <dc:creator>Pessimist</dc:creator>
  <cp:lastModifiedBy>呼噜噜</cp:lastModifiedBy>
  <dcterms:modified xsi:type="dcterms:W3CDTF">2026-06-17T00:34:13Z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98A79808CBA047BAB24F685479D9F81F_11</vt:lpwstr>
  </property>
  <property fmtid="{D5CDD505-2E9C-101B-9397-08002B2CF9AE}" pid="4" name="KSOTemplateDocerSaveRecord">
    <vt:lpwstr>eyJoZGlkIjoiMDFhYzY1ZjAxZmZjODgwMWQ3ZjA4ZWE5ODcyZDQ2YjciLCJ1c2VySWQiOiIxNzQyMjUyOTgzIn0=</vt:lpwstr>
  </property>
</Properties>
</file>